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rsidP="004A14BF">
      <w:pPr>
        <w:spacing w:after="0" w:line="240" w:lineRule="exact"/>
        <w:ind w:left="5400"/>
        <w:jc w:val="both"/>
        <w:rPr>
          <w:rFonts w:ascii="Times New Roman" w:eastAsia="Times New Roman" w:hAnsi="Times New Roman" w:cs="Times New Roman"/>
          <w:sz w:val="28"/>
          <w:szCs w:val="28"/>
        </w:rPr>
      </w:pPr>
    </w:p>
    <w:p w:rsidR="00681C9C" w:rsidRPr="004A14BF" w:rsidRDefault="00681C9C" w:rsidP="004A14BF">
      <w:pPr>
        <w:pBdr>
          <w:bottom w:val="single" w:sz="6" w:space="15" w:color="D6DBDF"/>
        </w:pBdr>
        <w:spacing w:after="300" w:line="465" w:lineRule="atLeast"/>
        <w:ind w:firstLine="708"/>
        <w:outlineLvl w:val="0"/>
        <w:rPr>
          <w:rFonts w:ascii="Times New Roman" w:eastAsia="Times New Roman" w:hAnsi="Times New Roman" w:cs="Times New Roman"/>
          <w:kern w:val="36"/>
          <w:sz w:val="28"/>
          <w:szCs w:val="28"/>
        </w:rPr>
      </w:pPr>
      <w:r w:rsidRPr="00681C9C">
        <w:rPr>
          <w:rFonts w:ascii="Times New Roman" w:eastAsia="Times New Roman" w:hAnsi="Times New Roman" w:cs="Times New Roman"/>
          <w:kern w:val="36"/>
          <w:sz w:val="28"/>
          <w:szCs w:val="28"/>
        </w:rPr>
        <w:t>Особенно</w:t>
      </w:r>
      <w:r w:rsidRPr="004A14BF">
        <w:rPr>
          <w:rFonts w:ascii="Times New Roman" w:eastAsia="Times New Roman" w:hAnsi="Times New Roman" w:cs="Times New Roman"/>
          <w:kern w:val="36"/>
          <w:sz w:val="28"/>
          <w:szCs w:val="28"/>
        </w:rPr>
        <w:t>сти возмещения судебных издержек</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Верховный суд РФ обобщил судебную практику порядка компенсации проигравшей стороной издержек по арбитражным, гражданским и административным делам. Судьи дали определение судебным издержкам, а также указали на особенности их взыскания.</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21.01.2016 Пленум Верховного суда РФ принял постановление «О некоторых вопросах применения законодательства о возмещении издержек, связанных с рассмотрением дела».</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Верховный суд РФ уточнил определение и перечень судебных издержек. В соответствии с текстом постановления, судебные издержки - это часть расходов, понесенных в ходе судебного процесса, которую должно возместить проигравшее спор лицо, понесшим их участникам судебного процесса.</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 судебным издержкам суд отнес затраты сторон на сбор доказательств, расходы на оформление доверенностей и оплату услуг представителей, а также затраты на соблюдение обязательного досудебного или претензионного порядка. Издержками признали расходы всех лиц, участвующих в деле.</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Например, истцу могут быть возмещены расходы, связанные с легализацией иностранных официальных документов, обеспечением нотариусом до возбуждения дела в суде судебных доказательств (в частности, доказательств, подтверждающих размещение определенной информации в сети «Интернет»), расходы на проведение досудебного исследования состояния имущества, на основании которого впоследствии определена цена предъявленного в суд иска, его подсудность.</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постановлении Пленума Верховного суда РФ уделено внимание возмещению расходов сторон на оплату услуг представителя и компенсации судебных издержек при заключении мирового соглашения.</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Так, при заключении мирового соглашения, соглашения о примирении судебные издержки распределяются в соответствии с его условиями. В том </w:t>
      </w:r>
      <w:r w:rsidRPr="004A14BF">
        <w:rPr>
          <w:sz w:val="28"/>
          <w:szCs w:val="28"/>
        </w:rPr>
        <w:lastRenderedPageBreak/>
        <w:t>случае, если в мировом соглашении, соглашении о примирении стороны не предусмотрели условия о распределении судебных издержек, суд разрешает данный вопрос с учетом следующего.</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Заключение мирового соглашения, соглашения о примирении обусловлено взаимными уступками сторон, и прекращение производства по делу ввиду данного обстоятельства само по себе не свидетельствует о принятии судебного акта в пользу одной из сторон спора. Поэтому судебные издержки, понесенные сторонами в ходе рассмотрения дела до заключения ими мирового соглашения, соглашения о примирении, относятся на них и распределению не подлежат.</w:t>
      </w:r>
    </w:p>
    <w:p w:rsidR="00000000" w:rsidRPr="004A14BF" w:rsidRDefault="003C35B0">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Default="00681C9C">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lastRenderedPageBreak/>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P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pPr>
        <w:rPr>
          <w:rFonts w:ascii="Times New Roman" w:hAnsi="Times New Roman" w:cs="Times New Roman"/>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ind w:firstLine="708"/>
        <w:rPr>
          <w:b w:val="0"/>
          <w:bCs w:val="0"/>
          <w:sz w:val="28"/>
          <w:szCs w:val="28"/>
        </w:rPr>
      </w:pPr>
      <w:r w:rsidRPr="004A14BF">
        <w:rPr>
          <w:b w:val="0"/>
          <w:bCs w:val="0"/>
          <w:sz w:val="28"/>
          <w:szCs w:val="28"/>
        </w:rPr>
        <w:t>Новый закон о профилактике правонарушений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 22.09.2016 вступает в законную силу Федеральный закон от 23.06.2016 № 182-ФЗ «Об основах системы профилактики правонарушений в Российской Федерации», предметом регулирования которого являются общественные отношения, возникающие в сфере профилактики правонарушений в Российской Федерации.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Федеральный закон устанавливает правовую и организационные основы системы профилактики правонарушений, общие правила ее функционирования, основные принципы, направления, виды профилактики правонарушений и формы профилактического воздействия, полномочия, права и обязанности субъектов профилактики правонарушений и лиц, участвующих в профилактике правонарушений.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Профилактика правонарушений осуществляется при возникновении социальных, экономических, правовых и иных причин и условий, способствующих совершению правонарушений.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Субъектами профилактики правонарушений являются:</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1) федеральные органы исполнительной власти;</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2) органы прокуратуры Российской Федерации;</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3) следственные органы Следственного комитета Российской Федерации;</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4) органы государственной власти субъектов Российской Федерации;</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5) органы местного самоуправления.</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w:t>
      </w:r>
      <w:r w:rsidRPr="004A14BF">
        <w:rPr>
          <w:sz w:val="28"/>
          <w:szCs w:val="28"/>
        </w:rPr>
        <w:lastRenderedPageBreak/>
        <w:t>справочных и статистических материалов, если иное не установлено федеральными законами.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Должностные лица органов прокуратуры Российской Федерации в пределах установленной компетенции вправе осуществлять профилактическое воздействие в следующих формах: правовое просвещение и правовое информирование; профилактическая беседа; объявление официального предостережения о недопустимости действий, создающих условия для совершения правонарушений; профилактический учет; внесение представления об устранении причин и условий, способствующих совершению правонарушения.</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Органы прокуратуры Российской Федерации осуществляют профилактику правонарушений, обеспечивая надзор за исполнением законов федеральными органами исполнительной власти, Следственным комитетом Российской Федерации, органами государственной власти субъектов Российской Федерации, органами местного самоуправления и их должностными лицами в соответствии с Федеральным законом «О прокуратуре Российской Федерации».</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shd w:val="clear" w:color="auto" w:fill="FFFFFF"/>
        <w:spacing w:after="150" w:line="300" w:lineRule="atLeast"/>
        <w:jc w:val="both"/>
        <w:rPr>
          <w:rFonts w:ascii="Times New Roman" w:eastAsia="Times New Roman" w:hAnsi="Times New Roman" w:cs="Times New Roman"/>
          <w:sz w:val="28"/>
          <w:szCs w:val="28"/>
        </w:rPr>
      </w:pPr>
    </w:p>
    <w:p w:rsidR="00681C9C" w:rsidRDefault="00681C9C"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lastRenderedPageBreak/>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4A14BF" w:rsidRPr="004A14BF" w:rsidRDefault="004A14BF" w:rsidP="00681C9C">
      <w:pPr>
        <w:shd w:val="clear" w:color="auto" w:fill="FFFFFF"/>
        <w:spacing w:after="150" w:line="300" w:lineRule="atLeast"/>
        <w:jc w:val="both"/>
        <w:rPr>
          <w:rFonts w:ascii="Times New Roman" w:eastAsia="Times New Roman" w:hAnsi="Times New Roman" w:cs="Times New Roman"/>
          <w:sz w:val="28"/>
          <w:szCs w:val="28"/>
        </w:rPr>
      </w:pPr>
    </w:p>
    <w:p w:rsidR="00681C9C" w:rsidRPr="004A14BF" w:rsidRDefault="00681C9C" w:rsidP="00681C9C">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Уголовная ответственность за незаконную охоту</w:t>
      </w:r>
    </w:p>
    <w:p w:rsidR="00681C9C" w:rsidRPr="00681C9C" w:rsidRDefault="00681C9C" w:rsidP="004A14BF">
      <w:pPr>
        <w:shd w:val="clear" w:color="auto" w:fill="FFFFFF"/>
        <w:spacing w:after="150" w:line="300" w:lineRule="atLeast"/>
        <w:ind w:firstLine="708"/>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Статьей 258 Уголовного кодекса РФ предусмотрена уголовная ответственность за незаконную охоту.</w:t>
      </w:r>
    </w:p>
    <w:p w:rsidR="00681C9C" w:rsidRPr="00681C9C" w:rsidRDefault="00681C9C" w:rsidP="00681C9C">
      <w:pPr>
        <w:shd w:val="clear" w:color="auto" w:fill="FFFFFF"/>
        <w:spacing w:after="150" w:line="300" w:lineRule="atLeast"/>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Незаконной будет признана охота, если это деяние совершено:</w:t>
      </w:r>
    </w:p>
    <w:p w:rsidR="00681C9C" w:rsidRPr="00681C9C" w:rsidRDefault="00681C9C" w:rsidP="00681C9C">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с причинением крупного ущерба;</w:t>
      </w:r>
    </w:p>
    <w:p w:rsidR="00681C9C" w:rsidRPr="00681C9C" w:rsidRDefault="00681C9C" w:rsidP="00681C9C">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681C9C" w:rsidRPr="00681C9C" w:rsidRDefault="00681C9C" w:rsidP="00681C9C">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в отношении птиц и зверей, охота на которых полностью запрещена;</w:t>
      </w:r>
    </w:p>
    <w:p w:rsidR="00681C9C" w:rsidRPr="00681C9C" w:rsidRDefault="00681C9C" w:rsidP="00681C9C">
      <w:pPr>
        <w:numPr>
          <w:ilvl w:val="0"/>
          <w:numId w:val="1"/>
        </w:numPr>
        <w:shd w:val="clear" w:color="auto" w:fill="FFFFFF"/>
        <w:spacing w:before="100" w:beforeAutospacing="1" w:after="75" w:line="300" w:lineRule="atLeast"/>
        <w:ind w:left="0"/>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на особо охраняемой природной территории либо в зоне чрезвычайной экологической ситуации.</w:t>
      </w:r>
    </w:p>
    <w:p w:rsidR="00681C9C" w:rsidRPr="00681C9C" w:rsidRDefault="00681C9C" w:rsidP="004A14BF">
      <w:pPr>
        <w:shd w:val="clear" w:color="auto" w:fill="FFFFFF"/>
        <w:spacing w:after="150" w:line="300" w:lineRule="atLeast"/>
        <w:ind w:firstLine="708"/>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Данные деяния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81C9C" w:rsidRPr="00681C9C" w:rsidRDefault="00681C9C" w:rsidP="004A14BF">
      <w:pPr>
        <w:shd w:val="clear" w:color="auto" w:fill="FFFFFF"/>
        <w:spacing w:after="150" w:line="300" w:lineRule="atLeast"/>
        <w:ind w:firstLine="708"/>
        <w:jc w:val="both"/>
        <w:rPr>
          <w:rFonts w:ascii="Times New Roman" w:eastAsia="Times New Roman" w:hAnsi="Times New Roman" w:cs="Times New Roman"/>
          <w:sz w:val="28"/>
          <w:szCs w:val="28"/>
        </w:rPr>
      </w:pPr>
      <w:r w:rsidRPr="00681C9C">
        <w:rPr>
          <w:rFonts w:ascii="Times New Roman" w:eastAsia="Times New Roman" w:hAnsi="Times New Roman" w:cs="Times New Roman"/>
          <w:sz w:val="28"/>
          <w:szCs w:val="28"/>
        </w:rPr>
        <w:t>То же деяние, совершенное лицом с использованием своего служебного положения либо группой лиц по предварительному сговору или организованной группой,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ind w:firstLine="708"/>
        <w:rPr>
          <w:b w:val="0"/>
          <w:bCs w:val="0"/>
          <w:sz w:val="28"/>
          <w:szCs w:val="28"/>
        </w:rPr>
      </w:pPr>
      <w:r w:rsidRPr="004A14BF">
        <w:rPr>
          <w:b w:val="0"/>
          <w:bCs w:val="0"/>
          <w:sz w:val="28"/>
          <w:szCs w:val="28"/>
        </w:rPr>
        <w:t>Регулирование тарифов в сфере обращения с твердыми коммунальными отходами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Основы ценообразования в сфере обращения с твердыми коммунальными отходами, которыми определены система, принципы и методы регулирования тарифов на товары (работы, услуги) организаций, осуществляющих регулируемые виды деятельности в области обращения с твердыми коммунальными отходами, и критерии их применения, утверждены Постановлением Правительства РФ от 30.05.2016 № 484.</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тарифов. Тарифы утверждаются в отношении каждой организации, и в отношении каждого осуществляемого вида деятельности с учетом территориальной схемы обращения с отходами.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Регулированию подлежат: единый тариф на услугу регионального оператора по обращению с отходами; тариф на обработку отходов; тариф на обезвреживание отходов; тариф на захоронение отходов.</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Тарифы устанавливаются с календарной разбивкой по полугодиям исходя из непревышения величины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Размер тарифов должен компенсировать регулируемым организациям экономически обоснованные расходы и обеспечивать экономически обоснованный уровень доходности.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Правилами регулирования тарифов в сфере обращения с твердыми коммунальными отходами определен порядок установления предельных тарифов. Тарифы устанавливаются органами исполнительной власти </w:t>
      </w:r>
      <w:r w:rsidRPr="004A14BF">
        <w:rPr>
          <w:sz w:val="28"/>
          <w:szCs w:val="28"/>
        </w:rPr>
        <w:lastRenderedPageBreak/>
        <w:t>субъектов РФ в области государственного регулирования тарифов либо (в случае передачи соответствующих полномочий) органом местного самоуправления до начала очередного периода регулирования, но не позднее 20 декабря года, предшествующего очередному периоду регулирования. Тарифы, как правило, вводятся с начала очередного календарного года на срок не менее 12 месяцев.</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Данное</w:t>
      </w:r>
      <w:r w:rsidRPr="004A14BF">
        <w:rPr>
          <w:rStyle w:val="apple-converted-space"/>
          <w:sz w:val="28"/>
          <w:szCs w:val="28"/>
        </w:rPr>
        <w:t> </w:t>
      </w:r>
      <w:hyperlink r:id="rId7" w:history="1">
        <w:r w:rsidRPr="004A14BF">
          <w:rPr>
            <w:rStyle w:val="a4"/>
            <w:color w:val="auto"/>
            <w:sz w:val="28"/>
            <w:szCs w:val="28"/>
          </w:rPr>
          <w:t>постановление</w:t>
        </w:r>
      </w:hyperlink>
      <w:r w:rsidRPr="004A14BF">
        <w:rPr>
          <w:rStyle w:val="apple-converted-space"/>
          <w:sz w:val="28"/>
          <w:szCs w:val="28"/>
        </w:rPr>
        <w:t> </w:t>
      </w:r>
      <w:r w:rsidRPr="004A14BF">
        <w:rPr>
          <w:sz w:val="28"/>
          <w:szCs w:val="28"/>
        </w:rPr>
        <w:t>Правительства РФ вступило в силу с 11.06.2016.</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Default="00681C9C"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ind w:firstLine="708"/>
        <w:rPr>
          <w:b w:val="0"/>
          <w:bCs w:val="0"/>
          <w:sz w:val="28"/>
          <w:szCs w:val="28"/>
        </w:rPr>
      </w:pPr>
      <w:r w:rsidRPr="004A14BF">
        <w:rPr>
          <w:b w:val="0"/>
          <w:bCs w:val="0"/>
          <w:sz w:val="28"/>
          <w:szCs w:val="28"/>
        </w:rPr>
        <w:t>Компенсация за утрату права собственности на жилое помещение</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соответствии со ст. 31.1 Федерального закона от 21.07.1997 № 122-ФЗ «О государственной регистрации прав на недвижимое имущество и сделок с ним»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Данная компенсация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Порядок выплаты Российской Федерацией указанной компенсации устанавливается Правительством Российской Федерации.</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ind w:firstLine="708"/>
        <w:rPr>
          <w:b w:val="0"/>
          <w:bCs w:val="0"/>
          <w:sz w:val="28"/>
          <w:szCs w:val="28"/>
        </w:rPr>
      </w:pPr>
      <w:r w:rsidRPr="004A14BF">
        <w:rPr>
          <w:b w:val="0"/>
          <w:bCs w:val="0"/>
          <w:sz w:val="28"/>
          <w:szCs w:val="28"/>
        </w:rPr>
        <w:t>Запрет на изготовление копий архивных документов собственными техническими средствами признан незаконным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Приказом Министерства культуры РФ от 03.06.2013 № 635 утвержден Порядок использования архивных документов в государственных и муниципальных архивах Российской Федерации, который содержал запрет на изготовление копий архивных документов в государственных и муниципальных архивах собственными техническими средствами.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Верховный Суд РФ решением от 28.03.2016 № АКПИ16-23 признал указанную норму недействующей по следующим основаниям.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Статьей 26 Федерального закона «Об архивном деле в Российской Федерации» установлено, что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Одновременно с этим, указанный Федеральный закон определяет случаи, когда доступ к архивным документам может быть ограничен, при этом не устанавливает ограничения на использование при работе с архивными документами собственных технических средств для копирования.</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связи с чем, установление подзаконным нормативным правовым актом ограничения для пользователей читальных залов архивов использовать при работе с архивными документами собственные технические средства для копирования, противоречит нормам указанного Федерального закона.</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Default="00681C9C"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Pr="004A14BF" w:rsidRDefault="004A14BF"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Повторное освидетельствование врачом-психиатром при призыве на воинскую службу</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hyperlink r:id="rId8" w:history="1">
        <w:r w:rsidRPr="004A14BF">
          <w:rPr>
            <w:rStyle w:val="a4"/>
            <w:color w:val="auto"/>
            <w:sz w:val="28"/>
            <w:szCs w:val="28"/>
          </w:rPr>
          <w:t>Постановлением Правительства РФ от 19.07.2016 № 698 внесены изменения в Положение о военно-врачебной экспертизе</w:t>
        </w:r>
      </w:hyperlink>
      <w:r w:rsidRPr="004A14BF">
        <w:rPr>
          <w:sz w:val="28"/>
          <w:szCs w:val="28"/>
        </w:rPr>
        <w:t>, согласно которым граждане, склонные к девиантному поведению, при призыве на воинскую службу будут проходить повторное освидетельствование врачом-психиатром.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Девиантным считается поведение, отклоняющееся от наиболее распространенных, общепринятых, а также устоявшихся норм и стандартов.</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Так, в указанном правовом документе определено, что при первоначальной постановке на воинский учет и призыве на военную службу врач-психиатр проводит повторное освидетельствование граждан, у которых по результатам соответствующих психологических (психофизиологических исследований), выполненных при проведении профессионального психологического отбора, выявлена склонность к девиантному поведению.</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Предусмотрено также, что врач-психиатр проводит освидетельствование после изучения результатов профессионального психологического отбора (соответствующих исследований и обследований) гражданина в следующих случаях:</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при поступлении на военную службу (приравненную службу) по контракту, и в мобилизационный людской резерв;</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при поступлении в военно-учебные заведения (учебные заведения);</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xml:space="preserve">- при намерении пройти военную подготовку в учебных военных центрах, на факультетах военного обучения (военных кафедрах) при образовательных организациях, а также в отношении граждан, прошедших военную </w:t>
      </w:r>
      <w:r w:rsidRPr="004A14BF">
        <w:rPr>
          <w:sz w:val="28"/>
          <w:szCs w:val="28"/>
        </w:rPr>
        <w:lastRenderedPageBreak/>
        <w:t>подготовку в учебных военных центрах, на факультетах военного обучения (военных кафедрах) и оканчивающих образовательную организацию.</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Поправки начали действовать с 30 июля 2016 года.</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Default="00681C9C"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lastRenderedPageBreak/>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Неустойка по ипотеке</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Федеральным законом от 23.06.2016 № 217-ФЗ внесены изменения в статью 9.1 Федерального закона «Об ипотеке (залоге недвижимости)».</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Согласно поправкам, с 24.07.2016 размер неустойки (штрафа, пени) за неисполнение или ненадлежащее исполнение обязательств по возврату кредита (займа) и уплате процентов по договору не может превышать:</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ключевую ставку Центрального банка РФ на день заключения договора в случае, если по условиям договора предусмотрено начисление процентов за соответствующий период нарушения исполнения обязательств;</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- 0,06 процента от суммы просроченной задолженности за каждый день нарушения исполнения обязательств в случае, если по условиям договора проценты за пользование кредитом (займом) за период нарушения обязательств не начисляются.</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681C9C"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Default="004A14BF" w:rsidP="004A14BF">
      <w:pPr>
        <w:spacing w:after="0" w:line="240" w:lineRule="exact"/>
        <w:ind w:left="5400"/>
        <w:jc w:val="both"/>
        <w:rPr>
          <w:rFonts w:ascii="Times New Roman" w:eastAsia="Times New Roman" w:hAnsi="Times New Roman" w:cs="Times New Roman"/>
          <w:sz w:val="28"/>
          <w:szCs w:val="28"/>
        </w:rPr>
      </w:pPr>
    </w:p>
    <w:p w:rsidR="004A14BF" w:rsidRPr="004A14BF" w:rsidRDefault="004A14BF" w:rsidP="004A14BF">
      <w:pPr>
        <w:spacing w:after="0" w:line="240" w:lineRule="exact"/>
        <w:ind w:left="5400"/>
        <w:jc w:val="both"/>
        <w:rPr>
          <w:rFonts w:ascii="Times New Roman" w:eastAsia="Times New Roman" w:hAnsi="Times New Roman" w:cs="Times New Roman"/>
          <w:sz w:val="28"/>
          <w:szCs w:val="28"/>
        </w:rPr>
      </w:pPr>
    </w:p>
    <w:p w:rsidR="00681C9C" w:rsidRPr="004A14BF" w:rsidRDefault="00681C9C" w:rsidP="00681C9C">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Недобросовестные арендаторы лесных участков будут включаться в реестр</w:t>
      </w:r>
    </w:p>
    <w:p w:rsidR="00681C9C" w:rsidRPr="004A14BF" w:rsidRDefault="00681C9C">
      <w:pPr>
        <w:rPr>
          <w:rFonts w:ascii="Times New Roman" w:hAnsi="Times New Roman" w:cs="Times New Roman"/>
          <w:sz w:val="28"/>
          <w:szCs w:val="28"/>
        </w:rPr>
      </w:pP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Федеральным законом от 23.06.2016 № 218-ФЗ Лесной кодекс РФ дополнен положениями, предусматривающими ведение реестра недобросовестных арендаторов лесных участков и покупателей лесных насаждений.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Так, с указанного времени уполномоченным федеральным органом исполнительной власти осуществляется ведение реестра недобросовестных арендаторов лесных участков и покупателей лесных насаждений.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Информация, содержащаяся в реестре, подлежит размещению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указанный реестр будет включаться информация об арендаторах, с которыми были расторгнуты договоры аренды лесных участков в случаях, в том числе, использования арендатором имущества с существенным нарушением условий договора или назначения имущества, при существенном ухудшении имущества арендатором, не внесении арендатором более двух раз подряд по истечении установленного договором срока платежа арендной платы.</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Также в реестр будет включаться информация об арендаторах и покупателях, с которыми были расторгнуты договоры аренды лесных участков или договоры купли-продажи лесных насаждений в связи с невыполнением лесохозяйственного регламента и проекта освоения лесов, в том числе в части охраны лесов от пожаров, защиты лесов, охраны лесов от загрязнения и иного негативного воздействия, воспроизводства лесов.</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lastRenderedPageBreak/>
        <w:t>Включение сведений об арендаторе лесного участка и покупателе лесных насаждений в реестр может быть обжаловано заинтересованным лицом в судебном порядке.</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При этом заключение с гражданами и юридическими лицами договоров аренды лесных участков и договоров купли-продажи лесных насаждений, находящихся в государственной или муниципальной собственности, в том числе по результатам аукционов, с указанного времени будет допускаться при условии отсутствия сведений о них в реестре недобросовестных арендаторов лесных участков и покупателей лесных насаждений.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Внесенные изменения в указанной части вступают в силу с 1 марта 2017 года.</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Default="00681C9C"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Pr="004A14BF" w:rsidRDefault="004A14BF"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Обязанность организаций по проведению наблюдений за состоянием и загрязнением окружающей среды</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Приказом Минприроды России от 04.03.2016 № 66 утвержден Порядок проведения собственниками объектов размещения отходов, а также лицами, во владении или пользовании которых находятся объекты размещения отходов, мониторинга состояния загрязнения окружающей среды на территориях объектов размещения отходов и в пределах их воздействия на окружающую среду.</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Порядок мониторинга предназначен для использования объектов размещения отходов, а также лицами, во владении или пользовании которых находятся объекты размещения отходов Росприроднадзором и его территориальными органами, Росгидрометом и его территориальными органами и подведомственными организациями, другими органами государственной власти, органами местного самоуправления, физическими и юридическими лицами, заинтересованными в получении данных о состоянии и загрязнении окружающей среды в районах расположения объектов размещения отходов.</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Приказом устанавливается в частности:</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порядок разработки программы мониторинга состояния и загрязнения окружающей среды на территории объекта размещения отходов и в пределах его взаимодействия на окружающую среду;</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состав и содержание программы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состав и содержание программы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lastRenderedPageBreak/>
        <w:t>- состав и содержание отчета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Указанный документ, за исключением отдельных положений, начал действовать с 26.06.2016.</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Default="00681C9C"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Особенности привлечения к ответственности лиц, обладающих особым правовым статусом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Согласно ч. 4 ст. 41 Федерального закона от 12.06.2002 № 67-ФЗ «Об основных гарантиях избирательных прав и права на участие в референдуме граждан Российской Федерации» (далее – ФЗ № 67-ФЗ) решения о возбуждении уголовного дела в отношении зарегистрированного кандидата, привлечении его в качестве обвиняемого по уголовному делу соответственно уровню выборов могут быть приняты с согласия Председателя Следственного комитета РФ, руководителя следственного органа Следственного комитета РФ.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При этом избирательная комиссия, зарегистрировавшая кандидата, извещается о даче соответствующего согласия.</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соответствии с приказом Генерального прокурора РФ от 23.11.2015 № 645 «О реализации прокурорами полномочий в сфере привлечения к административной ответственности лиц, обладающих особым правовым статусом» без согласия прокурора субъекта Российской Федерации не может быть подвергнут административному наказанию, налагаемому в судебном порядке:</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член избирательной комиссии, комиссии референдума (за исключением членов Центральной избирательной комиссии РФ и председателей избирательных комиссий субъектов РФ) с правом решающего голоса (</w:t>
      </w:r>
      <w:hyperlink r:id="rId9" w:history="1">
        <w:r w:rsidRPr="004A14BF">
          <w:rPr>
            <w:rStyle w:val="a4"/>
            <w:color w:val="auto"/>
            <w:sz w:val="28"/>
            <w:szCs w:val="28"/>
          </w:rPr>
          <w:t>п. 18 ст. 29</w:t>
        </w:r>
      </w:hyperlink>
      <w:r w:rsidRPr="004A14BF">
        <w:rPr>
          <w:rStyle w:val="apple-converted-space"/>
          <w:sz w:val="28"/>
          <w:szCs w:val="28"/>
        </w:rPr>
        <w:t> </w:t>
      </w:r>
      <w:r w:rsidRPr="004A14BF">
        <w:rPr>
          <w:sz w:val="28"/>
          <w:szCs w:val="28"/>
        </w:rPr>
        <w:t>ФЗ № 67-ФЗ);</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r w:rsidRPr="004A14BF">
        <w:rPr>
          <w:sz w:val="28"/>
          <w:szCs w:val="28"/>
        </w:rPr>
        <w:t>- зарегистрированный кандидат на должность высшего должностного лица субъекта Российской Федерации, зарегистрированный кандидат в депутаты законодательного (представительного) органа власти субъекта Российской Федерации (</w:t>
      </w:r>
      <w:hyperlink r:id="rId10" w:history="1">
        <w:r w:rsidRPr="004A14BF">
          <w:rPr>
            <w:rStyle w:val="a4"/>
            <w:color w:val="auto"/>
            <w:sz w:val="28"/>
            <w:szCs w:val="28"/>
          </w:rPr>
          <w:t>п. 4 ст. 41</w:t>
        </w:r>
      </w:hyperlink>
      <w:r w:rsidRPr="004A14BF">
        <w:rPr>
          <w:rStyle w:val="apple-converted-space"/>
          <w:sz w:val="28"/>
          <w:szCs w:val="28"/>
        </w:rPr>
        <w:t> </w:t>
      </w:r>
      <w:r w:rsidRPr="004A14BF">
        <w:rPr>
          <w:sz w:val="28"/>
          <w:szCs w:val="28"/>
        </w:rPr>
        <w:t>ФЗ № 67-ФЗ).</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lastRenderedPageBreak/>
        <w:t>Без 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11" w:history="1">
        <w:r w:rsidRPr="004A14BF">
          <w:rPr>
            <w:rStyle w:val="a4"/>
            <w:color w:val="auto"/>
            <w:sz w:val="28"/>
            <w:szCs w:val="28"/>
          </w:rPr>
          <w:t>п. 4 ст. 41</w:t>
        </w:r>
      </w:hyperlink>
      <w:r w:rsidRPr="004A14BF">
        <w:rPr>
          <w:rStyle w:val="apple-converted-space"/>
          <w:sz w:val="28"/>
          <w:szCs w:val="28"/>
        </w:rPr>
        <w:t> </w:t>
      </w:r>
      <w:r w:rsidRPr="004A14BF">
        <w:rPr>
          <w:sz w:val="28"/>
          <w:szCs w:val="28"/>
        </w:rPr>
        <w:t>ФЗ № 67-ФЗ).</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Default="00681C9C"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Default="004A14BF" w:rsidP="00681C9C">
      <w:pPr>
        <w:pStyle w:val="a3"/>
        <w:shd w:val="clear" w:color="auto" w:fill="FFFFFF"/>
        <w:spacing w:before="0" w:beforeAutospacing="0" w:after="150" w:afterAutospacing="0" w:line="300" w:lineRule="atLeast"/>
        <w:jc w:val="both"/>
        <w:rPr>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lastRenderedPageBreak/>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Расширен перечень причин инвалидности, которые устанавливаются в случае признания гражданина инвалидом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Постановлением Правительства РФ от 10.08.2016 № 772 внесены изменения в порядок и условия признания лица инвалидом.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Указанными изменениями расширен перечень причин инвалидности, которые устанавливаются в случае признания гражданина инвалидом.</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перечень включено, в частности, заболевание (ранение, контузия, увечье), полученное лицом, обслуживавшим действующие воинские части Вооруженных Сил СССР и Вооруженных Сил РФ, находившиеся на территориях других государств в период ведения в этих государствах боевых действий.</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частности, предусмотрено, что гражданин либо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гражданина формируются в дело медико-социальной экспертизы гражданина. Гражданин либо его законный или уполномоченный представитель имеет право на ознакомление с актом медико-социальной экспертизы гражданина и протоколом проведения медико-социальной экспертизы гражданина.</w:t>
      </w:r>
    </w:p>
    <w:p w:rsidR="00681C9C" w:rsidRPr="004A14BF" w:rsidRDefault="00681C9C"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необходимостью уточнения характеристик ранее рекомендованных видов реабилитационных или абилитационных мероприятий, а также в целях устранения технических ошибок, таких как описка, опечатка, грамматическая или арифметическая ошибка либо подобная ошибка, инвалиду по его заявлению либо по заявлению его законного или уполномоченного представителя взамен ранее </w:t>
      </w:r>
      <w:r w:rsidRPr="004A14BF">
        <w:rPr>
          <w:sz w:val="28"/>
          <w:szCs w:val="28"/>
        </w:rPr>
        <w:lastRenderedPageBreak/>
        <w:t>выданной составляется новая индивидуальная программа реабилитации или абилитации без проведения дополнительного освидетельствования инвалида.</w:t>
      </w:r>
    </w:p>
    <w:p w:rsidR="00681C9C" w:rsidRPr="004A14BF" w:rsidRDefault="00681C9C" w:rsidP="00681C9C">
      <w:pPr>
        <w:pStyle w:val="a3"/>
        <w:shd w:val="clear" w:color="auto" w:fill="FFFFFF"/>
        <w:spacing w:before="0" w:beforeAutospacing="0" w:after="150" w:afterAutospacing="0" w:line="300" w:lineRule="atLeast"/>
        <w:jc w:val="both"/>
        <w:rPr>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Pr="004A14BF" w:rsidRDefault="00681C9C">
      <w:pPr>
        <w:rPr>
          <w:rFonts w:ascii="Times New Roman" w:hAnsi="Times New Roman" w:cs="Times New Roman"/>
          <w:sz w:val="28"/>
          <w:szCs w:val="28"/>
        </w:rPr>
      </w:pPr>
    </w:p>
    <w:p w:rsidR="00681C9C" w:rsidRDefault="00681C9C">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Default="004A14BF">
      <w:pPr>
        <w:rPr>
          <w:rFonts w:ascii="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681C9C" w:rsidRPr="004A14BF" w:rsidRDefault="00681C9C">
      <w:pPr>
        <w:rPr>
          <w:rFonts w:ascii="Times New Roman" w:hAnsi="Times New Roman" w:cs="Times New Roman"/>
          <w:sz w:val="28"/>
          <w:szCs w:val="28"/>
        </w:rPr>
      </w:pPr>
    </w:p>
    <w:p w:rsidR="00681C9C" w:rsidRPr="004A14BF" w:rsidRDefault="004A14BF"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Реестр объектов, оказывающих негативное воздействие на окружающую среду</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Постановлением Правительства Российской Федерации от 23.06.2016 №572, во исполнение статьи 69 Федерального закона от 10.01.2002 №7-ФЗ «Об охране окружающей среды», утверждены Правила создания и ведения государственного реестра объектов, оказывающих негативное воздействие на окружающую среду», вступившие в силу 05.07.2016.</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Так, определен порядок создания и ведения государственного реестра объектов, оказывающих негативное воздействие на окружающую среду. Государственный учет объектов осуществляется в форме ведения федерального государственного реестра и региональных государственных реестров.</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Федеральный государственный реестр содержит сведения об объектах, подлежащих в соответствии со</w:t>
      </w:r>
      <w:r w:rsidRPr="004A14BF">
        <w:rPr>
          <w:rStyle w:val="apple-converted-space"/>
          <w:sz w:val="28"/>
          <w:szCs w:val="28"/>
        </w:rPr>
        <w:t> </w:t>
      </w:r>
      <w:hyperlink r:id="rId12" w:history="1">
        <w:r w:rsidRPr="004A14BF">
          <w:rPr>
            <w:rStyle w:val="a4"/>
            <w:color w:val="auto"/>
            <w:sz w:val="28"/>
            <w:szCs w:val="28"/>
          </w:rPr>
          <w:t>статьей 65</w:t>
        </w:r>
      </w:hyperlink>
      <w:r w:rsidRPr="004A14BF">
        <w:rPr>
          <w:rStyle w:val="apple-converted-space"/>
          <w:sz w:val="28"/>
          <w:szCs w:val="28"/>
        </w:rPr>
        <w:t> </w:t>
      </w:r>
      <w:r w:rsidRPr="004A14BF">
        <w:rPr>
          <w:sz w:val="28"/>
          <w:szCs w:val="28"/>
        </w:rPr>
        <w:t>Федерального закона 10.01.2002 № 7-ФЗ федеральному государственному экологическому надзору, ведение которого осуществляют территориальные органы Федеральной службы по надзору в сфере природопользования по месту нахождения объектов.</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Региональные государственные реестры содержат сведения об объектах, подлежащих региональному государственному экологическому надзору, ведение которых осуществляется органами исполнительной власти субъектов Российской Федерации по месту нахождения объектов.</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В государственном реестре содержатся такие сведения об объекте, как:реквизиты организации; сведения о фактическом месте нахождения объекта; сведения о государственной экологической экспертизе; сведения о стационарных источниках выбросов загрязняющих веществ в атмосферный воздух с указанием их географических координат; 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w:t>
      </w:r>
      <w:r w:rsidRPr="004A14BF">
        <w:rPr>
          <w:sz w:val="28"/>
          <w:szCs w:val="28"/>
        </w:rPr>
        <w:lastRenderedPageBreak/>
        <w:t>воздух; сведения об объеме или о массе размещенных отходов производства и потребления по каждому классу опасности; сведения о декларациях о плате за негативное воздействие на окружающую среду и другие сведения.</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Внесение сведений об объекте в государственный реестр и актуализация учетных данных, равно как и предоставление информации, содержащейся в государственном реестре должно осуществляться на безвозмездной основе.</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Сведения, включающие организационно-правовую форму юридического лица или фамилию, имя, отчество, дату регистрации индивидуального предпринимателя, наименование объекта, данные об основных видах негативного воздействия на окружающую среду размещаются на официальном сайте Федеральной службы по надзору в сфере природопользования в информационно-телекоммуникационной сети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Основанием для включения объектов в государственный реестр является заявка, которая направляется в территориальный орган Федеральной службы по надзору в сфере природопользования или органы исполнительной власти субъекта Российской Федерации в соответствии с компетенцией.</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Если же объект расположен в пределах территории 2 и более субъектов Российской Федерации, юридическое лицо, индивидуальный предприниматель,направляют заявку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по месту размещения такого объекта по своему усмотрению.</w:t>
      </w:r>
    </w:p>
    <w:p w:rsidR="00681C9C" w:rsidRPr="004A14BF" w:rsidRDefault="00681C9C">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rsidP="004A14BF">
      <w:pPr>
        <w:pStyle w:val="a3"/>
        <w:shd w:val="clear" w:color="auto" w:fill="FFFFFF"/>
        <w:spacing w:before="0" w:beforeAutospacing="0" w:after="150" w:afterAutospacing="0" w:line="300" w:lineRule="atLeast"/>
        <w:jc w:val="both"/>
        <w:rPr>
          <w:sz w:val="28"/>
          <w:szCs w:val="28"/>
        </w:rPr>
      </w:pPr>
    </w:p>
    <w:p w:rsidR="004A14BF" w:rsidRPr="004A14BF" w:rsidRDefault="004A14BF"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С 01.01.2017 вводятся особенности регулирования труда лиц, работающих на микропредприятиях</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 01.01.2017 вступает в силу Федеральный закон от 03.07.2016 № 348-ФЗ «О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Трудовой кодекс РФ введена новая глава 48.1, согласно которой у работодателей – субъектов малого предпринимательства (включая работодателей – индивидуальных предпринимателей), которые в соответствии с законодательством отнесены к микропредприятиям, регулирование трудовых отношений осуществляется с учетом установленных особенностей.</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частности, данные работодатели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Для регулирования трудовых отношений работодатель должен включить в трудовые договоры с работниками условия, регулирующие вопросы, которые в соответствии с трудовым законодательством должны регулироваться локальными нормативными актами.</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Трудовые договоры заключаются на основе типовой формы, утверждаемой Правительством РФ с учетом мнения Российской трехсторонней комиссии по регулированию социально-трудовых отношений.</w:t>
      </w:r>
    </w:p>
    <w:p w:rsidR="004A14BF" w:rsidRPr="004A14BF" w:rsidRDefault="004A14BF">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4A14BF" w:rsidRDefault="004A14BF">
      <w:pPr>
        <w:rPr>
          <w:rFonts w:ascii="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сентября__2016 года </w:t>
      </w:r>
    </w:p>
    <w:p w:rsidR="004A14BF" w:rsidRDefault="004A14BF" w:rsidP="004A14BF">
      <w:pPr>
        <w:spacing w:after="0" w:line="240" w:lineRule="exact"/>
        <w:ind w:left="5400"/>
        <w:jc w:val="both"/>
        <w:rPr>
          <w:rFonts w:ascii="Times New Roman" w:eastAsia="Times New Roman" w:hAnsi="Times New Roman" w:cs="Times New Roman"/>
          <w:sz w:val="28"/>
          <w:szCs w:val="28"/>
        </w:rPr>
      </w:pPr>
    </w:p>
    <w:p w:rsidR="004A14BF" w:rsidRPr="004A14BF" w:rsidRDefault="004A14BF" w:rsidP="004A14BF">
      <w:pPr>
        <w:spacing w:after="0" w:line="240" w:lineRule="exact"/>
        <w:ind w:left="5400"/>
        <w:jc w:val="both"/>
        <w:rPr>
          <w:rFonts w:ascii="Times New Roman" w:eastAsia="Times New Roman" w:hAnsi="Times New Roman" w:cs="Times New Roman"/>
          <w:sz w:val="28"/>
          <w:szCs w:val="28"/>
        </w:rPr>
      </w:pPr>
    </w:p>
    <w:p w:rsidR="004A14BF" w:rsidRPr="004A14BF" w:rsidRDefault="004A14BF"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Право органов местного самоуправления оспаривать в отдельных случаях результаты кадастровой стоимости земельного участка</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постановлении</w:t>
      </w:r>
      <w:r w:rsidRPr="004A14BF">
        <w:rPr>
          <w:rStyle w:val="apple-converted-space"/>
          <w:sz w:val="28"/>
          <w:szCs w:val="28"/>
        </w:rPr>
        <w:t> </w:t>
      </w:r>
      <w:r w:rsidRPr="004A14BF">
        <w:rPr>
          <w:sz w:val="28"/>
          <w:szCs w:val="28"/>
        </w:rPr>
        <w:t>Конституционного Суда РФ от 05.07.2016 № 15-П «По делу о проверке конституционности положения части первой статьи 24.18 Федерального закона «Об оценочной деятельности в Российской Федерации» исследован вопрос о праве органов местного самоуправления оспаривать результаты определения кадастровой стоимости в отдельных случаях.</w:t>
      </w:r>
    </w:p>
    <w:p w:rsidR="004A14BF" w:rsidRPr="004A14BF" w:rsidRDefault="004A14BF" w:rsidP="004A14BF">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Конституционный Суд РФ признал не соответствующим Конституции РФ положение ч. 1 ст. 24.18 Федерального закона «Об оценочной деятельности в Российской Федерации» в той мере, в какой оно препятствует органам местного самоуправления оспаривать в судебном порядке результаты определения кадастровой стоимости земельного участка, не находящегося в собственности муниципального образования, но расположенного на его территории, в случаях, когда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в том числе связанные с поступлениями налоговых доходов в местный бюджет.</w:t>
      </w:r>
    </w:p>
    <w:p w:rsidR="004A14BF" w:rsidRPr="004A14BF" w:rsidRDefault="004A14BF" w:rsidP="00905A90">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Одновременно Конституционный Суд РФ признал не противоречащим Конституции РФ положение ч. 1 ст. 24.18 данного Федерального закона, как устанавливающее в целях обеспечения прав и законных интересов собственников объектов недвижимости, расположенных на территории муниципального образования, общий порядок оспаривания органами местного самоуправления результатов определения кадастровой стоимости, </w:t>
      </w:r>
      <w:r w:rsidRPr="004A14BF">
        <w:rPr>
          <w:sz w:val="28"/>
          <w:szCs w:val="28"/>
        </w:rPr>
        <w:lastRenderedPageBreak/>
        <w:t>который предусматривает возможность такого оспаривания в отношении объектов недвижимости, находящихся в муниципальной собственности.</w:t>
      </w:r>
    </w:p>
    <w:p w:rsidR="004A14BF" w:rsidRPr="004A14BF" w:rsidRDefault="004A14BF" w:rsidP="00905A90">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Федеральному законодателю предписано с учетом правовых позиций, выраженных в указанном Постановлении, внести в действующее правовое регулирование необходимые изменения.</w:t>
      </w: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905A90" w:rsidRDefault="00905A90"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lastRenderedPageBreak/>
        <w:t>УТВЕРЖДАЮ</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4A14BF" w:rsidRPr="00872019" w:rsidRDefault="004A14BF" w:rsidP="004A14BF">
      <w:pPr>
        <w:spacing w:after="0" w:line="240" w:lineRule="exact"/>
        <w:ind w:left="5400"/>
        <w:jc w:val="both"/>
        <w:rPr>
          <w:rFonts w:ascii="Times New Roman" w:eastAsia="Times New Roman" w:hAnsi="Times New Roman" w:cs="Times New Roman"/>
          <w:sz w:val="28"/>
          <w:szCs w:val="28"/>
        </w:rPr>
      </w:pP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4A14BF" w:rsidRPr="00872019" w:rsidRDefault="004A14BF" w:rsidP="004A14BF">
      <w:pPr>
        <w:spacing w:after="0" w:line="240" w:lineRule="exact"/>
        <w:ind w:left="7080"/>
        <w:jc w:val="both"/>
        <w:rPr>
          <w:rFonts w:ascii="Times New Roman" w:eastAsia="Times New Roman" w:hAnsi="Times New Roman" w:cs="Times New Roman"/>
          <w:sz w:val="28"/>
          <w:szCs w:val="28"/>
        </w:rPr>
      </w:pPr>
    </w:p>
    <w:p w:rsidR="004A14BF" w:rsidRDefault="004A14BF" w:rsidP="004A14BF">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4A14BF" w:rsidRPr="004A14BF" w:rsidRDefault="004A14BF">
      <w:pPr>
        <w:rPr>
          <w:rFonts w:ascii="Times New Roman" w:hAnsi="Times New Roman" w:cs="Times New Roman"/>
          <w:sz w:val="28"/>
          <w:szCs w:val="28"/>
        </w:rPr>
      </w:pPr>
    </w:p>
    <w:p w:rsidR="004A14BF" w:rsidRPr="004A14BF" w:rsidRDefault="004A14BF" w:rsidP="004A14BF">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Участие органов местного самоуправления в профилактике терроризма</w:t>
      </w:r>
    </w:p>
    <w:p w:rsidR="004A14BF" w:rsidRPr="004A14BF" w:rsidRDefault="004A14BF" w:rsidP="00905A90">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Федеральным законом от 06.07.2016 № 374-ФЗ с 20.07.2016 Федеральный закон «О противодействии терроризму» дополнен статьей 5.2. "Полномочия органов местного самоуправления в области противодействия терроризму".</w:t>
      </w:r>
    </w:p>
    <w:p w:rsidR="004A14BF" w:rsidRPr="004A14BF" w:rsidRDefault="004A14BF" w:rsidP="00905A90">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Так,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A14BF" w:rsidRPr="004A14BF" w:rsidRDefault="004A14BF" w:rsidP="004A14BF">
      <w:pPr>
        <w:pStyle w:val="a3"/>
        <w:shd w:val="clear" w:color="auto" w:fill="FFFFFF"/>
        <w:spacing w:before="0" w:beforeAutospacing="0" w:after="150" w:afterAutospacing="0" w:line="300" w:lineRule="atLeast"/>
        <w:jc w:val="both"/>
        <w:rPr>
          <w:sz w:val="28"/>
          <w:szCs w:val="28"/>
        </w:rPr>
      </w:pPr>
      <w:r w:rsidRPr="004A14BF">
        <w:rPr>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A14BF" w:rsidRPr="004A14BF" w:rsidRDefault="004A14BF" w:rsidP="004A14BF">
      <w:pPr>
        <w:pStyle w:val="a3"/>
        <w:shd w:val="clear" w:color="auto" w:fill="FFFFFF"/>
        <w:spacing w:before="0" w:beforeAutospacing="0" w:after="150" w:afterAutospacing="0" w:line="300" w:lineRule="atLeast"/>
        <w:jc w:val="both"/>
        <w:rPr>
          <w:sz w:val="28"/>
          <w:szCs w:val="28"/>
        </w:rPr>
      </w:pPr>
      <w:r w:rsidRPr="004A14BF">
        <w:rPr>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A14BF" w:rsidRPr="004A14BF" w:rsidRDefault="004A14BF" w:rsidP="004A14BF">
      <w:pPr>
        <w:pStyle w:val="a3"/>
        <w:shd w:val="clear" w:color="auto" w:fill="FFFFFF"/>
        <w:spacing w:before="0" w:beforeAutospacing="0" w:after="150" w:afterAutospacing="0" w:line="300" w:lineRule="atLeast"/>
        <w:jc w:val="both"/>
        <w:rPr>
          <w:sz w:val="28"/>
          <w:szCs w:val="28"/>
        </w:rPr>
      </w:pPr>
      <w:r w:rsidRPr="004A14BF">
        <w:rPr>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A14BF" w:rsidRPr="004A14BF" w:rsidRDefault="004A14BF" w:rsidP="004A14BF">
      <w:pPr>
        <w:pStyle w:val="a3"/>
        <w:shd w:val="clear" w:color="auto" w:fill="FFFFFF"/>
        <w:spacing w:before="0" w:beforeAutospacing="0" w:after="150" w:afterAutospacing="0" w:line="300" w:lineRule="atLeast"/>
        <w:jc w:val="both"/>
        <w:rPr>
          <w:sz w:val="28"/>
          <w:szCs w:val="28"/>
        </w:rPr>
      </w:pPr>
      <w:r w:rsidRPr="004A14BF">
        <w:rPr>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A14BF" w:rsidRPr="004A14BF" w:rsidRDefault="004A14BF" w:rsidP="004A14BF">
      <w:pPr>
        <w:pStyle w:val="a3"/>
        <w:shd w:val="clear" w:color="auto" w:fill="FFFFFF"/>
        <w:spacing w:before="0" w:beforeAutospacing="0" w:after="150" w:afterAutospacing="0" w:line="300" w:lineRule="atLeast"/>
        <w:jc w:val="both"/>
        <w:rPr>
          <w:sz w:val="28"/>
          <w:szCs w:val="28"/>
        </w:rPr>
      </w:pPr>
      <w:r w:rsidRPr="004A14BF">
        <w:rPr>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A14BF" w:rsidRPr="004A14BF" w:rsidRDefault="004A14BF" w:rsidP="004A14BF">
      <w:pPr>
        <w:pStyle w:val="a3"/>
        <w:shd w:val="clear" w:color="auto" w:fill="FFFFFF"/>
        <w:spacing w:before="0" w:beforeAutospacing="0" w:after="150" w:afterAutospacing="0" w:line="300" w:lineRule="atLeast"/>
        <w:jc w:val="both"/>
        <w:rPr>
          <w:sz w:val="28"/>
          <w:szCs w:val="28"/>
        </w:rPr>
      </w:pPr>
      <w:r w:rsidRPr="004A14BF">
        <w:rPr>
          <w:sz w:val="28"/>
          <w:szCs w:val="28"/>
        </w:rPr>
        <w:lastRenderedPageBreak/>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A14BF" w:rsidRDefault="004A14BF"/>
    <w:sectPr w:rsidR="004A14BF">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5B0" w:rsidRDefault="003C35B0" w:rsidP="00681C9C">
      <w:pPr>
        <w:spacing w:after="0" w:line="240" w:lineRule="auto"/>
      </w:pPr>
      <w:r>
        <w:separator/>
      </w:r>
    </w:p>
  </w:endnote>
  <w:endnote w:type="continuationSeparator" w:id="1">
    <w:p w:rsidR="003C35B0" w:rsidRDefault="003C35B0" w:rsidP="0068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5B0" w:rsidRDefault="003C35B0" w:rsidP="00681C9C">
      <w:pPr>
        <w:spacing w:after="0" w:line="240" w:lineRule="auto"/>
      </w:pPr>
      <w:r>
        <w:separator/>
      </w:r>
    </w:p>
  </w:footnote>
  <w:footnote w:type="continuationSeparator" w:id="1">
    <w:p w:rsidR="003C35B0" w:rsidRDefault="003C35B0" w:rsidP="00681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719"/>
      <w:docPartObj>
        <w:docPartGallery w:val="㔄∀ऀ܀"/>
        <w:docPartUnique/>
      </w:docPartObj>
    </w:sdtPr>
    <w:sdtContent>
      <w:p w:rsidR="00681C9C" w:rsidRDefault="00681C9C">
        <w:pPr>
          <w:pStyle w:val="a5"/>
          <w:jc w:val="center"/>
        </w:pPr>
        <w:fldSimple w:instr=" PAGE   \* MERGEFORMAT ">
          <w:r w:rsidR="00905A90">
            <w:rPr>
              <w:noProof/>
            </w:rPr>
            <w:t>27</w:t>
          </w:r>
        </w:fldSimple>
      </w:p>
    </w:sdtContent>
  </w:sdt>
  <w:p w:rsidR="00681C9C" w:rsidRDefault="00681C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53A"/>
    <w:multiLevelType w:val="multilevel"/>
    <w:tmpl w:val="9374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81C9C"/>
    <w:rsid w:val="003C35B0"/>
    <w:rsid w:val="004A14BF"/>
    <w:rsid w:val="00681C9C"/>
    <w:rsid w:val="00905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C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81C9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681C9C"/>
  </w:style>
  <w:style w:type="character" w:styleId="a4">
    <w:name w:val="Hyperlink"/>
    <w:basedOn w:val="a0"/>
    <w:uiPriority w:val="99"/>
    <w:semiHidden/>
    <w:unhideWhenUsed/>
    <w:rsid w:val="00681C9C"/>
    <w:rPr>
      <w:color w:val="0000FF"/>
      <w:u w:val="single"/>
    </w:rPr>
  </w:style>
  <w:style w:type="paragraph" w:styleId="a5">
    <w:name w:val="header"/>
    <w:basedOn w:val="a"/>
    <w:link w:val="a6"/>
    <w:uiPriority w:val="99"/>
    <w:unhideWhenUsed/>
    <w:rsid w:val="00681C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C9C"/>
  </w:style>
  <w:style w:type="paragraph" w:styleId="a7">
    <w:name w:val="footer"/>
    <w:basedOn w:val="a"/>
    <w:link w:val="a8"/>
    <w:uiPriority w:val="99"/>
    <w:semiHidden/>
    <w:unhideWhenUsed/>
    <w:rsid w:val="00681C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1C9C"/>
  </w:style>
</w:styles>
</file>

<file path=word/webSettings.xml><?xml version="1.0" encoding="utf-8"?>
<w:webSettings xmlns:r="http://schemas.openxmlformats.org/officeDocument/2006/relationships" xmlns:w="http://schemas.openxmlformats.org/wordprocessingml/2006/main">
  <w:divs>
    <w:div w:id="23289257">
      <w:bodyDiv w:val="1"/>
      <w:marLeft w:val="0"/>
      <w:marRight w:val="0"/>
      <w:marTop w:val="0"/>
      <w:marBottom w:val="0"/>
      <w:divBdr>
        <w:top w:val="none" w:sz="0" w:space="0" w:color="auto"/>
        <w:left w:val="none" w:sz="0" w:space="0" w:color="auto"/>
        <w:bottom w:val="none" w:sz="0" w:space="0" w:color="auto"/>
        <w:right w:val="none" w:sz="0" w:space="0" w:color="auto"/>
      </w:divBdr>
    </w:div>
    <w:div w:id="27729061">
      <w:bodyDiv w:val="1"/>
      <w:marLeft w:val="0"/>
      <w:marRight w:val="0"/>
      <w:marTop w:val="0"/>
      <w:marBottom w:val="0"/>
      <w:divBdr>
        <w:top w:val="none" w:sz="0" w:space="0" w:color="auto"/>
        <w:left w:val="none" w:sz="0" w:space="0" w:color="auto"/>
        <w:bottom w:val="none" w:sz="0" w:space="0" w:color="auto"/>
        <w:right w:val="none" w:sz="0" w:space="0" w:color="auto"/>
      </w:divBdr>
    </w:div>
    <w:div w:id="47070287">
      <w:bodyDiv w:val="1"/>
      <w:marLeft w:val="0"/>
      <w:marRight w:val="0"/>
      <w:marTop w:val="0"/>
      <w:marBottom w:val="0"/>
      <w:divBdr>
        <w:top w:val="none" w:sz="0" w:space="0" w:color="auto"/>
        <w:left w:val="none" w:sz="0" w:space="0" w:color="auto"/>
        <w:bottom w:val="none" w:sz="0" w:space="0" w:color="auto"/>
        <w:right w:val="none" w:sz="0" w:space="0" w:color="auto"/>
      </w:divBdr>
    </w:div>
    <w:div w:id="61409659">
      <w:bodyDiv w:val="1"/>
      <w:marLeft w:val="0"/>
      <w:marRight w:val="0"/>
      <w:marTop w:val="0"/>
      <w:marBottom w:val="0"/>
      <w:divBdr>
        <w:top w:val="none" w:sz="0" w:space="0" w:color="auto"/>
        <w:left w:val="none" w:sz="0" w:space="0" w:color="auto"/>
        <w:bottom w:val="none" w:sz="0" w:space="0" w:color="auto"/>
        <w:right w:val="none" w:sz="0" w:space="0" w:color="auto"/>
      </w:divBdr>
    </w:div>
    <w:div w:id="145318148">
      <w:bodyDiv w:val="1"/>
      <w:marLeft w:val="0"/>
      <w:marRight w:val="0"/>
      <w:marTop w:val="0"/>
      <w:marBottom w:val="0"/>
      <w:divBdr>
        <w:top w:val="none" w:sz="0" w:space="0" w:color="auto"/>
        <w:left w:val="none" w:sz="0" w:space="0" w:color="auto"/>
        <w:bottom w:val="none" w:sz="0" w:space="0" w:color="auto"/>
        <w:right w:val="none" w:sz="0" w:space="0" w:color="auto"/>
      </w:divBdr>
    </w:div>
    <w:div w:id="283733844">
      <w:bodyDiv w:val="1"/>
      <w:marLeft w:val="0"/>
      <w:marRight w:val="0"/>
      <w:marTop w:val="0"/>
      <w:marBottom w:val="0"/>
      <w:divBdr>
        <w:top w:val="none" w:sz="0" w:space="0" w:color="auto"/>
        <w:left w:val="none" w:sz="0" w:space="0" w:color="auto"/>
        <w:bottom w:val="none" w:sz="0" w:space="0" w:color="auto"/>
        <w:right w:val="none" w:sz="0" w:space="0" w:color="auto"/>
      </w:divBdr>
    </w:div>
    <w:div w:id="321857339">
      <w:bodyDiv w:val="1"/>
      <w:marLeft w:val="0"/>
      <w:marRight w:val="0"/>
      <w:marTop w:val="0"/>
      <w:marBottom w:val="0"/>
      <w:divBdr>
        <w:top w:val="none" w:sz="0" w:space="0" w:color="auto"/>
        <w:left w:val="none" w:sz="0" w:space="0" w:color="auto"/>
        <w:bottom w:val="none" w:sz="0" w:space="0" w:color="auto"/>
        <w:right w:val="none" w:sz="0" w:space="0" w:color="auto"/>
      </w:divBdr>
    </w:div>
    <w:div w:id="474025645">
      <w:bodyDiv w:val="1"/>
      <w:marLeft w:val="0"/>
      <w:marRight w:val="0"/>
      <w:marTop w:val="0"/>
      <w:marBottom w:val="0"/>
      <w:divBdr>
        <w:top w:val="none" w:sz="0" w:space="0" w:color="auto"/>
        <w:left w:val="none" w:sz="0" w:space="0" w:color="auto"/>
        <w:bottom w:val="none" w:sz="0" w:space="0" w:color="auto"/>
        <w:right w:val="none" w:sz="0" w:space="0" w:color="auto"/>
      </w:divBdr>
    </w:div>
    <w:div w:id="490608106">
      <w:bodyDiv w:val="1"/>
      <w:marLeft w:val="0"/>
      <w:marRight w:val="0"/>
      <w:marTop w:val="0"/>
      <w:marBottom w:val="0"/>
      <w:divBdr>
        <w:top w:val="none" w:sz="0" w:space="0" w:color="auto"/>
        <w:left w:val="none" w:sz="0" w:space="0" w:color="auto"/>
        <w:bottom w:val="none" w:sz="0" w:space="0" w:color="auto"/>
        <w:right w:val="none" w:sz="0" w:space="0" w:color="auto"/>
      </w:divBdr>
    </w:div>
    <w:div w:id="592013134">
      <w:bodyDiv w:val="1"/>
      <w:marLeft w:val="0"/>
      <w:marRight w:val="0"/>
      <w:marTop w:val="0"/>
      <w:marBottom w:val="0"/>
      <w:divBdr>
        <w:top w:val="none" w:sz="0" w:space="0" w:color="auto"/>
        <w:left w:val="none" w:sz="0" w:space="0" w:color="auto"/>
        <w:bottom w:val="none" w:sz="0" w:space="0" w:color="auto"/>
        <w:right w:val="none" w:sz="0" w:space="0" w:color="auto"/>
      </w:divBdr>
    </w:div>
    <w:div w:id="724110307">
      <w:bodyDiv w:val="1"/>
      <w:marLeft w:val="0"/>
      <w:marRight w:val="0"/>
      <w:marTop w:val="0"/>
      <w:marBottom w:val="0"/>
      <w:divBdr>
        <w:top w:val="none" w:sz="0" w:space="0" w:color="auto"/>
        <w:left w:val="none" w:sz="0" w:space="0" w:color="auto"/>
        <w:bottom w:val="none" w:sz="0" w:space="0" w:color="auto"/>
        <w:right w:val="none" w:sz="0" w:space="0" w:color="auto"/>
      </w:divBdr>
    </w:div>
    <w:div w:id="751657626">
      <w:bodyDiv w:val="1"/>
      <w:marLeft w:val="0"/>
      <w:marRight w:val="0"/>
      <w:marTop w:val="0"/>
      <w:marBottom w:val="0"/>
      <w:divBdr>
        <w:top w:val="none" w:sz="0" w:space="0" w:color="auto"/>
        <w:left w:val="none" w:sz="0" w:space="0" w:color="auto"/>
        <w:bottom w:val="none" w:sz="0" w:space="0" w:color="auto"/>
        <w:right w:val="none" w:sz="0" w:space="0" w:color="auto"/>
      </w:divBdr>
    </w:div>
    <w:div w:id="860750979">
      <w:bodyDiv w:val="1"/>
      <w:marLeft w:val="0"/>
      <w:marRight w:val="0"/>
      <w:marTop w:val="0"/>
      <w:marBottom w:val="0"/>
      <w:divBdr>
        <w:top w:val="none" w:sz="0" w:space="0" w:color="auto"/>
        <w:left w:val="none" w:sz="0" w:space="0" w:color="auto"/>
        <w:bottom w:val="none" w:sz="0" w:space="0" w:color="auto"/>
        <w:right w:val="none" w:sz="0" w:space="0" w:color="auto"/>
      </w:divBdr>
    </w:div>
    <w:div w:id="883324382">
      <w:bodyDiv w:val="1"/>
      <w:marLeft w:val="0"/>
      <w:marRight w:val="0"/>
      <w:marTop w:val="0"/>
      <w:marBottom w:val="0"/>
      <w:divBdr>
        <w:top w:val="none" w:sz="0" w:space="0" w:color="auto"/>
        <w:left w:val="none" w:sz="0" w:space="0" w:color="auto"/>
        <w:bottom w:val="none" w:sz="0" w:space="0" w:color="auto"/>
        <w:right w:val="none" w:sz="0" w:space="0" w:color="auto"/>
      </w:divBdr>
    </w:div>
    <w:div w:id="998003419">
      <w:bodyDiv w:val="1"/>
      <w:marLeft w:val="0"/>
      <w:marRight w:val="0"/>
      <w:marTop w:val="0"/>
      <w:marBottom w:val="0"/>
      <w:divBdr>
        <w:top w:val="none" w:sz="0" w:space="0" w:color="auto"/>
        <w:left w:val="none" w:sz="0" w:space="0" w:color="auto"/>
        <w:bottom w:val="none" w:sz="0" w:space="0" w:color="auto"/>
        <w:right w:val="none" w:sz="0" w:space="0" w:color="auto"/>
      </w:divBdr>
    </w:div>
    <w:div w:id="1032071124">
      <w:bodyDiv w:val="1"/>
      <w:marLeft w:val="0"/>
      <w:marRight w:val="0"/>
      <w:marTop w:val="0"/>
      <w:marBottom w:val="0"/>
      <w:divBdr>
        <w:top w:val="none" w:sz="0" w:space="0" w:color="auto"/>
        <w:left w:val="none" w:sz="0" w:space="0" w:color="auto"/>
        <w:bottom w:val="none" w:sz="0" w:space="0" w:color="auto"/>
        <w:right w:val="none" w:sz="0" w:space="0" w:color="auto"/>
      </w:divBdr>
    </w:div>
    <w:div w:id="1090858781">
      <w:bodyDiv w:val="1"/>
      <w:marLeft w:val="0"/>
      <w:marRight w:val="0"/>
      <w:marTop w:val="0"/>
      <w:marBottom w:val="0"/>
      <w:divBdr>
        <w:top w:val="none" w:sz="0" w:space="0" w:color="auto"/>
        <w:left w:val="none" w:sz="0" w:space="0" w:color="auto"/>
        <w:bottom w:val="none" w:sz="0" w:space="0" w:color="auto"/>
        <w:right w:val="none" w:sz="0" w:space="0" w:color="auto"/>
      </w:divBdr>
    </w:div>
    <w:div w:id="1120536793">
      <w:bodyDiv w:val="1"/>
      <w:marLeft w:val="0"/>
      <w:marRight w:val="0"/>
      <w:marTop w:val="0"/>
      <w:marBottom w:val="0"/>
      <w:divBdr>
        <w:top w:val="none" w:sz="0" w:space="0" w:color="auto"/>
        <w:left w:val="none" w:sz="0" w:space="0" w:color="auto"/>
        <w:bottom w:val="none" w:sz="0" w:space="0" w:color="auto"/>
        <w:right w:val="none" w:sz="0" w:space="0" w:color="auto"/>
      </w:divBdr>
    </w:div>
    <w:div w:id="1155417216">
      <w:bodyDiv w:val="1"/>
      <w:marLeft w:val="0"/>
      <w:marRight w:val="0"/>
      <w:marTop w:val="0"/>
      <w:marBottom w:val="0"/>
      <w:divBdr>
        <w:top w:val="none" w:sz="0" w:space="0" w:color="auto"/>
        <w:left w:val="none" w:sz="0" w:space="0" w:color="auto"/>
        <w:bottom w:val="none" w:sz="0" w:space="0" w:color="auto"/>
        <w:right w:val="none" w:sz="0" w:space="0" w:color="auto"/>
      </w:divBdr>
    </w:div>
    <w:div w:id="1184053874">
      <w:bodyDiv w:val="1"/>
      <w:marLeft w:val="0"/>
      <w:marRight w:val="0"/>
      <w:marTop w:val="0"/>
      <w:marBottom w:val="0"/>
      <w:divBdr>
        <w:top w:val="none" w:sz="0" w:space="0" w:color="auto"/>
        <w:left w:val="none" w:sz="0" w:space="0" w:color="auto"/>
        <w:bottom w:val="none" w:sz="0" w:space="0" w:color="auto"/>
        <w:right w:val="none" w:sz="0" w:space="0" w:color="auto"/>
      </w:divBdr>
    </w:div>
    <w:div w:id="1279872409">
      <w:bodyDiv w:val="1"/>
      <w:marLeft w:val="0"/>
      <w:marRight w:val="0"/>
      <w:marTop w:val="0"/>
      <w:marBottom w:val="0"/>
      <w:divBdr>
        <w:top w:val="none" w:sz="0" w:space="0" w:color="auto"/>
        <w:left w:val="none" w:sz="0" w:space="0" w:color="auto"/>
        <w:bottom w:val="none" w:sz="0" w:space="0" w:color="auto"/>
        <w:right w:val="none" w:sz="0" w:space="0" w:color="auto"/>
      </w:divBdr>
    </w:div>
    <w:div w:id="1318654967">
      <w:bodyDiv w:val="1"/>
      <w:marLeft w:val="0"/>
      <w:marRight w:val="0"/>
      <w:marTop w:val="0"/>
      <w:marBottom w:val="0"/>
      <w:divBdr>
        <w:top w:val="none" w:sz="0" w:space="0" w:color="auto"/>
        <w:left w:val="none" w:sz="0" w:space="0" w:color="auto"/>
        <w:bottom w:val="none" w:sz="0" w:space="0" w:color="auto"/>
        <w:right w:val="none" w:sz="0" w:space="0" w:color="auto"/>
      </w:divBdr>
    </w:div>
    <w:div w:id="1388532775">
      <w:bodyDiv w:val="1"/>
      <w:marLeft w:val="0"/>
      <w:marRight w:val="0"/>
      <w:marTop w:val="0"/>
      <w:marBottom w:val="0"/>
      <w:divBdr>
        <w:top w:val="none" w:sz="0" w:space="0" w:color="auto"/>
        <w:left w:val="none" w:sz="0" w:space="0" w:color="auto"/>
        <w:bottom w:val="none" w:sz="0" w:space="0" w:color="auto"/>
        <w:right w:val="none" w:sz="0" w:space="0" w:color="auto"/>
      </w:divBdr>
    </w:div>
    <w:div w:id="1534155224">
      <w:bodyDiv w:val="1"/>
      <w:marLeft w:val="0"/>
      <w:marRight w:val="0"/>
      <w:marTop w:val="0"/>
      <w:marBottom w:val="0"/>
      <w:divBdr>
        <w:top w:val="none" w:sz="0" w:space="0" w:color="auto"/>
        <w:left w:val="none" w:sz="0" w:space="0" w:color="auto"/>
        <w:bottom w:val="none" w:sz="0" w:space="0" w:color="auto"/>
        <w:right w:val="none" w:sz="0" w:space="0" w:color="auto"/>
      </w:divBdr>
    </w:div>
    <w:div w:id="1658415410">
      <w:bodyDiv w:val="1"/>
      <w:marLeft w:val="0"/>
      <w:marRight w:val="0"/>
      <w:marTop w:val="0"/>
      <w:marBottom w:val="0"/>
      <w:divBdr>
        <w:top w:val="none" w:sz="0" w:space="0" w:color="auto"/>
        <w:left w:val="none" w:sz="0" w:space="0" w:color="auto"/>
        <w:bottom w:val="none" w:sz="0" w:space="0" w:color="auto"/>
        <w:right w:val="none" w:sz="0" w:space="0" w:color="auto"/>
      </w:divBdr>
    </w:div>
    <w:div w:id="1709183186">
      <w:bodyDiv w:val="1"/>
      <w:marLeft w:val="0"/>
      <w:marRight w:val="0"/>
      <w:marTop w:val="0"/>
      <w:marBottom w:val="0"/>
      <w:divBdr>
        <w:top w:val="none" w:sz="0" w:space="0" w:color="auto"/>
        <w:left w:val="none" w:sz="0" w:space="0" w:color="auto"/>
        <w:bottom w:val="none" w:sz="0" w:space="0" w:color="auto"/>
        <w:right w:val="none" w:sz="0" w:space="0" w:color="auto"/>
      </w:divBdr>
    </w:div>
    <w:div w:id="1727609534">
      <w:bodyDiv w:val="1"/>
      <w:marLeft w:val="0"/>
      <w:marRight w:val="0"/>
      <w:marTop w:val="0"/>
      <w:marBottom w:val="0"/>
      <w:divBdr>
        <w:top w:val="none" w:sz="0" w:space="0" w:color="auto"/>
        <w:left w:val="none" w:sz="0" w:space="0" w:color="auto"/>
        <w:bottom w:val="none" w:sz="0" w:space="0" w:color="auto"/>
        <w:right w:val="none" w:sz="0" w:space="0" w:color="auto"/>
      </w:divBdr>
    </w:div>
    <w:div w:id="1766878879">
      <w:bodyDiv w:val="1"/>
      <w:marLeft w:val="0"/>
      <w:marRight w:val="0"/>
      <w:marTop w:val="0"/>
      <w:marBottom w:val="0"/>
      <w:divBdr>
        <w:top w:val="none" w:sz="0" w:space="0" w:color="auto"/>
        <w:left w:val="none" w:sz="0" w:space="0" w:color="auto"/>
        <w:bottom w:val="none" w:sz="0" w:space="0" w:color="auto"/>
        <w:right w:val="none" w:sz="0" w:space="0" w:color="auto"/>
      </w:divBdr>
    </w:div>
    <w:div w:id="1880629421">
      <w:bodyDiv w:val="1"/>
      <w:marLeft w:val="0"/>
      <w:marRight w:val="0"/>
      <w:marTop w:val="0"/>
      <w:marBottom w:val="0"/>
      <w:divBdr>
        <w:top w:val="none" w:sz="0" w:space="0" w:color="auto"/>
        <w:left w:val="none" w:sz="0" w:space="0" w:color="auto"/>
        <w:bottom w:val="none" w:sz="0" w:space="0" w:color="auto"/>
        <w:right w:val="none" w:sz="0" w:space="0" w:color="auto"/>
      </w:divBdr>
    </w:div>
    <w:div w:id="1895311131">
      <w:bodyDiv w:val="1"/>
      <w:marLeft w:val="0"/>
      <w:marRight w:val="0"/>
      <w:marTop w:val="0"/>
      <w:marBottom w:val="0"/>
      <w:divBdr>
        <w:top w:val="none" w:sz="0" w:space="0" w:color="auto"/>
        <w:left w:val="none" w:sz="0" w:space="0" w:color="auto"/>
        <w:bottom w:val="none" w:sz="0" w:space="0" w:color="auto"/>
        <w:right w:val="none" w:sz="0" w:space="0" w:color="auto"/>
      </w:divBdr>
    </w:div>
    <w:div w:id="2038039395">
      <w:bodyDiv w:val="1"/>
      <w:marLeft w:val="0"/>
      <w:marRight w:val="0"/>
      <w:marTop w:val="0"/>
      <w:marBottom w:val="0"/>
      <w:divBdr>
        <w:top w:val="none" w:sz="0" w:space="0" w:color="auto"/>
        <w:left w:val="none" w:sz="0" w:space="0" w:color="auto"/>
        <w:bottom w:val="none" w:sz="0" w:space="0" w:color="auto"/>
        <w:right w:val="none" w:sz="0" w:space="0" w:color="auto"/>
      </w:divBdr>
    </w:div>
    <w:div w:id="20531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21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0971C2B94708539BD06035C224A13ABFB14CBE0E8CF081026CE26E82qFrDI" TargetMode="External"/><Relationship Id="rId12" Type="http://schemas.openxmlformats.org/officeDocument/2006/relationships/hyperlink" Target="consultantplus://offline/ref=DCABC6E8BC53F616F8DDEC16D6411E82D699B66F6553E3379FE11725107E2AD829BFCB33617FE0C6rEG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63B0D4DD43620501D2B7B4271540D3510191606503C5CB2D19C3F142BDEA2B10CCFA13B0gAh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963B0D4DD43620501D2B7B4271540D3510191606503C5CB2D19C3F142BDEA2B10CCFA13B0gAh4I" TargetMode="External"/><Relationship Id="rId4" Type="http://schemas.openxmlformats.org/officeDocument/2006/relationships/webSettings" Target="webSettings.xml"/><Relationship Id="rId9" Type="http://schemas.openxmlformats.org/officeDocument/2006/relationships/hyperlink" Target="consultantplus://offline/ref=1963B0D4DD43620501D2B7B4271540D3510191606503C5CB2D19C3F142BDEA2B10CCFA13BFgAh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2016-09-19T05:47:00Z</dcterms:created>
  <dcterms:modified xsi:type="dcterms:W3CDTF">2016-09-19T06:10:00Z</dcterms:modified>
</cp:coreProperties>
</file>