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/>
          <w:sz w:val="36"/>
          <w:szCs w:val="36"/>
        </w:rPr>
      </w:pPr>
      <w:r>
        <w:rPr>
          <w:rFonts w:eastAsia="Times New Roman" w:cs="Arial" w:ascii="Times New Roman" w:hAnsi="Times New Roman"/>
          <w:sz w:val="36"/>
          <w:szCs w:val="36"/>
          <w:lang w:eastAsia="ru-RU"/>
        </w:rPr>
        <w:t>Узнать сумму средств материнского капитала можно дистанционно.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аналогичный сервис назывался «Получить информацию о размере материнского капитала (или его оставшейся части)».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получить сведения о размере МСК, необходимо воспользоваться обновлённым интернет - 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Личном кабинете гражданина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сайте ПФР или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помощью подтверждённой учётной записи.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Иванова Светлана Валерьевна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2021-02-15T15:58:44Z</cp:lastPrinted>
  <dcterms:modified xsi:type="dcterms:W3CDTF">2021-02-15T15:58:54Z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