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</w:p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план жилого дома, за исключением случая, если на момент направления заявления в отношении жилого дома осуществлен государственный кадастровый учет;</w:t>
      </w:r>
    </w:p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предоставление либо передачу иным лицом земельного участка, в том </w:t>
      </w:r>
      <w:proofErr w:type="gramStart"/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образован испрашиваемый земельный участок, заявителю;</w:t>
      </w:r>
    </w:p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заявителя по месту жительства в жилом доме до 14 мая 1998 года;</w:t>
      </w:r>
    </w:p>
    <w:p w:rsid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заявителю нотариусом до 14 мая 1998 года в отношении жилого дома, подтверждающий права заявителя на него;</w:t>
      </w:r>
    </w:p>
    <w:p w:rsidR="00D227C2" w:rsidRPr="00D227C2" w:rsidRDefault="00D227C2" w:rsidP="00D227C2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свидетельство о праве на наследство, подтверждающее, что наследником </w:t>
      </w:r>
      <w:r w:rsidRPr="00D227C2">
        <w:rPr>
          <w:rFonts w:ascii="Times New Roman" w:eastAsiaTheme="minorEastAsia" w:hAnsi="Times New Roman" w:cs="Times New Roman"/>
          <w:sz w:val="28"/>
          <w:szCs w:val="28"/>
        </w:rPr>
        <w:t>унаследовано имущество гражданина (в случае, если с заявлением обратился заявитель, указанный в пункте 1.2.2 административного регламента);</w:t>
      </w:r>
    </w:p>
    <w:p w:rsidR="00D227C2" w:rsidRDefault="00D227C2"/>
    <w:sectPr w:rsidR="00D227C2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565"/>
    <w:multiLevelType w:val="hybridMultilevel"/>
    <w:tmpl w:val="5B22B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27C2"/>
    <w:rsid w:val="00B30417"/>
    <w:rsid w:val="00C3328E"/>
    <w:rsid w:val="00D227C2"/>
    <w:rsid w:val="00EA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2024-08-27T14:34:00Z</dcterms:created>
  <dcterms:modified xsi:type="dcterms:W3CDTF">2024-08-27T14:36:00Z</dcterms:modified>
</cp:coreProperties>
</file>