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DA" w:rsidRDefault="00673DDA" w:rsidP="00673DDA">
      <w:pPr>
        <w:pStyle w:val="ConsPlusNormal"/>
        <w:ind w:firstLine="540"/>
        <w:jc w:val="both"/>
      </w:pPr>
      <w:r>
        <w:t>Форма №2 (для юридических лиц)</w:t>
      </w:r>
    </w:p>
    <w:p w:rsidR="00673DDA" w:rsidRDefault="00673DDA" w:rsidP="00673DDA">
      <w:pPr>
        <w:pStyle w:val="ConsPlusNonformat"/>
        <w:jc w:val="center"/>
      </w:pPr>
      <w:r>
        <w:t xml:space="preserve">                                            В администрацию МО </w:t>
      </w:r>
    </w:p>
    <w:p w:rsidR="00673DDA" w:rsidRDefault="00673DDA" w:rsidP="00673DDA">
      <w:pPr>
        <w:pStyle w:val="ConsPlusNonformat"/>
        <w:jc w:val="center"/>
      </w:pPr>
      <w:r>
        <w:t xml:space="preserve">                                                      </w:t>
      </w:r>
      <w:proofErr w:type="spellStart"/>
      <w:r>
        <w:t>Мгинское</w:t>
      </w:r>
      <w:proofErr w:type="spellEnd"/>
      <w:r>
        <w:t xml:space="preserve"> городское поселение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от ____________________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____________________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(для юридических лиц)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предварительном согласовании предоставления земельного участка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Заявитель: ________________________________________________________________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(Полное наименование юридического лица в соответствии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с учредительными документами)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673DDA" w:rsidTr="001F3CCC"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none" w:sz="4" w:space="0" w:color="000000"/>
              <w:right w:val="none" w:sz="4" w:space="0" w:color="000000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left w:val="none" w:sz="4" w:space="0" w:color="000000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0"/>
        <w:gridCol w:w="5473"/>
      </w:tblGrid>
      <w:tr w:rsidR="00673DDA" w:rsidTr="001F3CCC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ЕГРЮЛ, в ЕГРИП: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0"/>
        <w:gridCol w:w="5473"/>
      </w:tblGrid>
      <w:tr w:rsidR="00673DDA" w:rsidTr="001F3CCC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Идентификационный номер налогоплательщика (ИНН):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>Прошу (просим) предварительно согласовать предоставление земельного участка</w:t>
      </w:r>
    </w:p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465"/>
      </w:tblGrid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Вид права: собственность (продажа или бесплатно), аренда (указать срок аренды), безвозмездное пользование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Цель использования земельного участка</w:t>
            </w:r>
            <w:r>
              <w:rPr>
                <w:rStyle w:val="a6"/>
                <w:rFonts w:ascii="Calibri" w:eastAsia="Times New Roman" w:hAnsi="Calibri" w:cs="Calibri"/>
                <w:szCs w:val="20"/>
                <w:lang w:eastAsia="ru-RU"/>
              </w:rPr>
              <w:footnoteReference w:id="1"/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: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Основание предоставления земельного участка: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(</w:t>
            </w:r>
            <w:hyperlink r:id="rId7" w:tooltip="consultantplus://offline/ref=B65C699E504B164972B59BF74699201478D8FD2B275DFCAF4311BB748EE93D047963951DEA69D11ACB9A80B93422244E9202A34A72jBy1G" w:history="1">
              <w:r w:rsidRPr="003C7B49">
                <w:rPr>
                  <w:rFonts w:ascii="Calibri" w:eastAsia="Times New Roman" w:hAnsi="Calibri" w:cs="Calibri"/>
                  <w:szCs w:val="20"/>
                  <w:lang w:eastAsia="ru-RU"/>
                </w:rPr>
                <w:t>п. 2 ст. 39.3</w:t>
              </w:r>
            </w:hyperlink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; </w:t>
            </w:r>
            <w:hyperlink r:id="rId8" w:tooltip="consultantplus://offline/ref=B65C699E504B164972B59BF74699201478D8FD2B275DFCAF4311BB748EE93D047963951DEC69D11ACB9A80B93422244E9202A34A72jBy1G" w:history="1">
              <w:r w:rsidRPr="003C7B49">
                <w:rPr>
                  <w:rFonts w:ascii="Calibri" w:eastAsia="Times New Roman" w:hAnsi="Calibri" w:cs="Calibri"/>
                  <w:szCs w:val="20"/>
                  <w:lang w:eastAsia="ru-RU"/>
                </w:rPr>
                <w:t>ст. 39.5</w:t>
              </w:r>
            </w:hyperlink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; </w:t>
            </w:r>
            <w:hyperlink r:id="rId9" w:tooltip="consultantplus://offline/ref=B65C699E504B164972B59BF74699201478D8FD2B275DFCAF4311BB748EE93D047963951DEF6BD11ACB9A80B93422244E9202A34A72jBy1G" w:history="1">
              <w:r w:rsidRPr="003C7B49">
                <w:rPr>
                  <w:rFonts w:ascii="Calibri" w:eastAsia="Times New Roman" w:hAnsi="Calibri" w:cs="Calibri"/>
                  <w:szCs w:val="20"/>
                  <w:lang w:eastAsia="ru-RU"/>
                </w:rPr>
                <w:t>п. 2 ст. 39.6</w:t>
              </w:r>
            </w:hyperlink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;         </w:t>
            </w:r>
            <w:hyperlink r:id="rId10" w:tooltip="consultantplus://offline/ref=B65C699E504B164972B59BF74699201478D8FD2B275DFCAF4311BB748EE93D047963951CEE69D11ACB9A80B93422244E9202A34A72jBy1G" w:history="1">
              <w:r w:rsidRPr="003C7B49">
                <w:rPr>
                  <w:rFonts w:ascii="Calibri" w:eastAsia="Times New Roman" w:hAnsi="Calibri" w:cs="Calibri"/>
                  <w:szCs w:val="20"/>
                  <w:lang w:eastAsia="ru-RU"/>
                </w:rPr>
                <w:t>п. 2. ст. 39.10</w:t>
              </w:r>
            </w:hyperlink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Земельного кодекса РФ):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В  случае, если указан вид права «в собственность, продажа» (п.2 ст. 39.3 Земельного кодекса РФ)</w:t>
            </w:r>
          </w:p>
        </w:tc>
        <w:tc>
          <w:tcPr>
            <w:tcW w:w="5465" w:type="dxa"/>
          </w:tcPr>
          <w:p w:rsidR="00673DDA" w:rsidRDefault="00673DDA" w:rsidP="00673DDA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«О содействии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развитию жилищного строительства, созданию объектов туристской инфраструктуры и иному развитию территорий»;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земельных участков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земельных участков, предназначенных для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неустраненных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участка.</w:t>
            </w: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«в собственность, бесплатно» (ст. 39.5 Земельного кодекса РФ)</w:t>
            </w:r>
          </w:p>
        </w:tc>
        <w:tc>
          <w:tcPr>
            <w:tcW w:w="5465" w:type="dxa"/>
          </w:tcPr>
          <w:p w:rsidR="00673DDA" w:rsidRDefault="00673DDA" w:rsidP="00673DDA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222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религиозной организации, имеющей в собственности здания или сооружения религиозного, или благотворительного назначения, расположенные на таком земельном участке;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222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образованного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нужд, в общую долевую собственность лицам, являющимся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собственниками земельных участков, расположенных в границах такой территории, пропорционально площади этих участков;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222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предоставленного религиозной организации на праве постоянного (бессрочного) пользования и предназначенного для сельскохозяйственного производства, этой организации в случаях, предусмотренных законами субъектов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222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в соответствии с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222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Федерации».</w:t>
            </w: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«аренда» (п. 2 ст. 39.6 Земельного кодекса РФ)</w:t>
            </w:r>
          </w:p>
        </w:tc>
        <w:tc>
          <w:tcPr>
            <w:tcW w:w="5465" w:type="dxa"/>
          </w:tcPr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юридическим лицам в соответствии с указом или распоряжением Президента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земельного участка застройщику, признанному в соответствии с Федеральным законом от 26 октября 2002 года N 127-ФЗ «О несостоятельности (банкротстве)»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«Об участии в долевом строительстве многоквартирных домов и иных объектов недвижимости и о внесении изменений в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некоторые законодательные акты Российской Федерации»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«О несостоятельности (банкротстве)»;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застройщику, признанному в соответствии с Федеральным законом от 26 октября 2002 года N 127-ФЗ «О несостоятельности (банкротстве)»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«О публично-правовой компании «Фонд развития территорий» и о внесении изменений в отдельные законодательные акты Российской Федерации»;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пункта 2 статьи 39.6 ЗК РФ, пунктом 5 статьи 46 ЗК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2F42"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статьей 39.20 ЗК РФ, на праве оперативного управления;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ст. 39.6 Земельного кодекса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находящегося в постоянном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(бессрочном) пользовании юридических лиц, этим землепользователям, за исключением юридических лиц, указанных в пункте 2 статьи 39.9 ЗК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лицу, которое в соответствии с ЗК РФ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необходимого для осуществления пользования недрами,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недропользователю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>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расположенного в границах особой экономической зоны или на прилегающей к ней территории, для 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зоны.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Федерации федеральным органом исполнительной власти;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муниципально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>-частном партнерстве, лицу, с которым заключены указанные соглашения;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необходимого для осуществления видов деятельности в сфере охотничьего хозяйства, лицу, с которым заключено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охотхозяйственное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соглашение;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2F42"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для осуществления деятельности Государственной компании «Российские автомобильные дороги» в границах полос отвода и придорожных полос автомобильных дорог;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для осуществления деятельности открытого акционерного общества «Российские железные дороги» для размещения объектов инфраструктуры железнодорожного транспорта общего пользования;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 лицу, обладающему правом на добычу (вылов) водных биологических ресурсов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земельного участка лицу, осуществляющему товарную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аквакультуру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участка, предназначенного для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неустраненных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 арендатору </w:t>
            </w:r>
            <w:r w:rsidRPr="002E2F42">
              <w:rPr>
                <w:rFonts w:ascii="Calibri" w:eastAsia="Times New Roman" w:hAnsi="Calibri" w:cs="Calibri"/>
                <w:szCs w:val="20"/>
                <w:lang w:eastAsia="ru-RU"/>
              </w:rPr>
              <w:t>(за исключением арендаторов земельных участков, указанных в </w:t>
            </w:r>
            <w:hyperlink r:id="rId11" w:anchor="dst498" w:history="1">
              <w:r w:rsidRPr="002E2F42">
                <w:rPr>
                  <w:rFonts w:ascii="Calibri" w:eastAsia="Times New Roman" w:hAnsi="Calibri" w:cs="Calibri"/>
                  <w:szCs w:val="20"/>
                  <w:lang w:eastAsia="ru-RU"/>
                </w:rPr>
                <w:t>подпункте 31</w:t>
              </w:r>
            </w:hyperlink>
            <w:r w:rsidRPr="002E2F42">
              <w:rPr>
                <w:rFonts w:ascii="Calibri" w:eastAsia="Times New Roman" w:hAnsi="Calibri" w:cs="Calibri"/>
                <w:szCs w:val="20"/>
                <w:lang w:eastAsia="ru-RU"/>
              </w:rPr>
              <w:t>  пункта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 2 статьи 39.6 ЗК РФ</w:t>
            </w:r>
            <w:r w:rsidRPr="002E2F42">
              <w:rPr>
                <w:rFonts w:ascii="Calibri" w:eastAsia="Times New Roman" w:hAnsi="Calibri" w:cs="Calibri"/>
                <w:szCs w:val="20"/>
                <w:lang w:eastAsia="ru-RU"/>
              </w:rPr>
              <w:t>)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, если этот арендатор имеет право на заключение нового договора аренды такого земельного участка в соответствии с пунктами 3 и 4 статьи 39.6 ЗК РФ;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земельного участка в соответствии с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«Единый заказчик в сфере строительства» на текущий год и плановый период в соответствии с Федеральным законом «О публично-правовой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компании «Единый заказчик в сфере строительства» и о внесении изменений в отдельные законодательные акты Российской Федерации»;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363" w:firstLine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земельного участка публично-правовой компании «Фонд развития территорий» для осуществления функций и полномочий, предусмотренных Федеральным законом от 29 июля 2017 года N 218-ФЗ «О публично-правовой компании 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«О несостоятельности (банкротстве)»,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Федерации, </w:t>
            </w:r>
            <w:r w:rsidRPr="003E5F6A">
              <w:rPr>
                <w:rFonts w:ascii="Calibri" w:eastAsia="Times New Roman" w:hAnsi="Calibri" w:cs="Calibri"/>
                <w:szCs w:val="20"/>
                <w:lang w:eastAsia="ru-RU"/>
              </w:rPr>
              <w:t>а также в случае, если земельные участки (права на них) отсутствуют у застройщика, признанного несостоятельным (банкротом)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tabs>
                <w:tab w:val="left" w:pos="1221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«безвозмездное пользование» (п. 2. ст. 39.10 Земельного кодекса РФ)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ab/>
            </w:r>
          </w:p>
        </w:tc>
        <w:tc>
          <w:tcPr>
            <w:tcW w:w="5465" w:type="dxa"/>
          </w:tcPr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1) лицам, указанным в пункте 2 статьи 39.9 Земельного кодекса РФ, на срок до одного года;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2) в виде служебных наделов работникам организаций в случаях, указанных в пункте 2 статьи 24 Земельного кодекса РФ, на срок трудового договора, заключенного между работником и организацией;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5) лицам, с которыми в соответствии с Федеральным законом от 5 апреля 2013 года N 44-ФЗ «О контрактной системе в сфере закупок товаров, работ, услуг для обеспечения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государственных и муниципальных нужд» (далее - Федеральный закон «О контрактной системе в сфере закупок товаров, работ, услуг для обеспечения государственных и муниципальных нужд»)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10) гражданам и юридическим лицам для сельскохозяйственного, 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охотхозяйственного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11) </w:t>
            </w:r>
            <w:r w:rsidRPr="001B4CF2">
              <w:rPr>
                <w:rFonts w:ascii="Calibri" w:eastAsia="Times New Roman" w:hAnsi="Calibri" w:cs="Calibri"/>
                <w:szCs w:val="20"/>
                <w:lang w:eastAsia="ru-RU"/>
              </w:rPr>
              <w:t>садоводческим или огородническим некоммерческим товариществам в целях, предусмотренных Федеральным </w:t>
            </w:r>
            <w:hyperlink r:id="rId12" w:history="1">
              <w:r w:rsidRPr="001B4CF2">
                <w:rPr>
                  <w:rFonts w:ascii="Calibri" w:eastAsia="Times New Roman" w:hAnsi="Calibri" w:cs="Calibri"/>
                  <w:szCs w:val="20"/>
                  <w:lang w:eastAsia="ru-RU"/>
                </w:rPr>
                <w:t>законом</w:t>
              </w:r>
            </w:hyperlink>
            <w:r>
              <w:rPr>
                <w:rFonts w:ascii="Calibri" w:eastAsia="Times New Roman" w:hAnsi="Calibri" w:cs="Calibri"/>
                <w:szCs w:val="20"/>
                <w:lang w:eastAsia="ru-RU"/>
              </w:rPr>
              <w:t> от 29 июля 2017 года N 217-ФЗ «</w:t>
            </w:r>
            <w:r w:rsidRPr="001B4CF2">
              <w:rPr>
                <w:rFonts w:ascii="Calibri" w:eastAsia="Times New Roman" w:hAnsi="Calibri" w:cs="Calibri"/>
                <w:szCs w:val="20"/>
                <w:lang w:eastAsia="ru-RU"/>
              </w:rPr>
              <w:t>О ведении гражданами садоводства и огородничества для собственных нужд и о внесении изменений в отдельные законодате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льные акты Российской Федерации»</w:t>
            </w:r>
            <w:r w:rsidRPr="001B4CF2">
              <w:rPr>
                <w:rFonts w:ascii="Calibri" w:eastAsia="Times New Roman" w:hAnsi="Calibri" w:cs="Calibri"/>
                <w:szCs w:val="20"/>
                <w:lang w:eastAsia="ru-RU"/>
              </w:rPr>
              <w:t>, на срок не более чем пять ле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т;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13) лицам, с которыми в соответствии с Федеральным законом от 29 декабря 2012 года N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14) некоммерческим организациям, предусмотренным законом субъекта Российской Федерации и созданным субъектом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15)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16) лицу в случае и в порядке, которые предусмотрены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17) акционерному обществу «Почта России» в соответствии с Федеральным законом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Федерации».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18) публично-правовой компании «Единый заказчик в сфере строительства»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«О публично-правовой компании «Единый заказчик в сфере строительства» и о внесении изменений в отдельные законодательные акты Российской Федерации»;</w:t>
            </w:r>
          </w:p>
          <w:p w:rsidR="00673DDA" w:rsidRDefault="00673DDA" w:rsidP="00673DDA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19) публично-правовой компании «Фонд развития территорий» для осуществления функций и полномочий, предусмотренных Федеральным законом от 29 июля 2017 года          N 218-ФЗ «О публично-правовой компании 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«О несостоятельности (банкротстве)»,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Кадастровый номер земельного участка: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(если границы подлежат уточнению)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Кадастровый(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ые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>) номер (номера) земельного участка: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(из которого(</w:t>
            </w:r>
            <w:proofErr w:type="spellStart"/>
            <w:r>
              <w:rPr>
                <w:rFonts w:ascii="Calibri" w:eastAsia="Times New Roman" w:hAnsi="Calibri" w:cs="Calibri"/>
                <w:szCs w:val="20"/>
                <w:lang w:eastAsia="ru-RU"/>
              </w:rPr>
              <w:t>ых</w:t>
            </w:r>
            <w:proofErr w:type="spellEnd"/>
            <w:r>
              <w:rPr>
                <w:rFonts w:ascii="Calibri" w:eastAsia="Times New Roman" w:hAnsi="Calibri" w:cs="Calibri"/>
                <w:szCs w:val="20"/>
                <w:lang w:eastAsia="ru-RU"/>
              </w:rPr>
              <w:t>) предусмотрено образование испрашиваемого земельного участка, если сведения о таких земельных участках внесены в государственный кадастр недвижимости)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утверждении проекта межевания территории: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(если образование земельного участка предусмотрено проектом)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утверждении документа территориального планирования и(или) проекта планировки территории: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(если участок предоставляется для размещения объектов, предусмотренных указанным документом)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изъятии земельного участка для государственных или муниципальных нужд:</w:t>
            </w:r>
          </w:p>
          <w:p w:rsidR="00673DDA" w:rsidRDefault="00673DDA" w:rsidP="001F3CCC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(если участок предоставляется взамен изымаемого)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673DDA" w:rsidTr="001F3CCC">
        <w:tc>
          <w:tcPr>
            <w:tcW w:w="3606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Почтовый адрес и(или) адрес электронной почты</w:t>
            </w:r>
          </w:p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Телефон</w:t>
            </w:r>
          </w:p>
        </w:tc>
        <w:tc>
          <w:tcPr>
            <w:tcW w:w="5465" w:type="dxa"/>
          </w:tcPr>
          <w:p w:rsidR="00673DDA" w:rsidRDefault="00673DDA" w:rsidP="001F3CC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утверждением  иного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варианта  схемы  расположения  земельного  участка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согласен.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Результат рассмотрения заявления прошу: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┌─┤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│  выдать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руки в ГБУ ЛО «МФЦ»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│  направить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электронной форме в личный кабинет на ЕПГУ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│  по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электронной почте (e-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│  выдать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руки в администрации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__________________________      ______________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подпись                           ФИО                     дата</w:t>
      </w: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73DDA" w:rsidRDefault="00673DDA" w:rsidP="00673DD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 к заявлению: документы в соответствии с Таблицей № 2 регламента</w:t>
      </w:r>
    </w:p>
    <w:p w:rsidR="00673DDA" w:rsidRDefault="00673DDA" w:rsidP="00673DD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673DDA" w:rsidRDefault="00673DDA" w:rsidP="00673DDA">
      <w:pPr>
        <w:pStyle w:val="ConsPlusNormal"/>
        <w:tabs>
          <w:tab w:val="left" w:pos="8778"/>
        </w:tabs>
        <w:ind w:firstLine="540"/>
        <w:jc w:val="both"/>
      </w:pPr>
    </w:p>
    <w:p w:rsidR="000C76A4" w:rsidRDefault="000C76A4">
      <w:bookmarkStart w:id="0" w:name="_GoBack"/>
      <w:bookmarkEnd w:id="0"/>
    </w:p>
    <w:sectPr w:rsidR="000C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BB7" w:rsidRDefault="00F70BB7" w:rsidP="00673DDA">
      <w:pPr>
        <w:spacing w:after="0" w:line="240" w:lineRule="auto"/>
      </w:pPr>
      <w:r>
        <w:separator/>
      </w:r>
    </w:p>
  </w:endnote>
  <w:endnote w:type="continuationSeparator" w:id="0">
    <w:p w:rsidR="00F70BB7" w:rsidRDefault="00F70BB7" w:rsidP="0067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BB7" w:rsidRDefault="00F70BB7" w:rsidP="00673DDA">
      <w:pPr>
        <w:spacing w:after="0" w:line="240" w:lineRule="auto"/>
      </w:pPr>
      <w:r>
        <w:separator/>
      </w:r>
    </w:p>
  </w:footnote>
  <w:footnote w:type="continuationSeparator" w:id="0">
    <w:p w:rsidR="00F70BB7" w:rsidRDefault="00F70BB7" w:rsidP="00673DDA">
      <w:pPr>
        <w:spacing w:after="0" w:line="240" w:lineRule="auto"/>
      </w:pPr>
      <w:r>
        <w:continuationSeparator/>
      </w:r>
    </w:p>
  </w:footnote>
  <w:footnote w:id="1">
    <w:p w:rsidR="00673DDA" w:rsidRDefault="00673DDA" w:rsidP="00673DDA">
      <w:pPr>
        <w:pStyle w:val="a4"/>
      </w:pPr>
      <w:r>
        <w:rPr>
          <w:rStyle w:val="a6"/>
        </w:rPr>
        <w:footnoteRef/>
      </w:r>
      <w:r>
        <w:t xml:space="preserve"> В соответствии с классификатором видов разрешенного использования земельных участков, утвержденных Приказом Федеральной службы государственной регистрации, кадастра и картографии от 10 ноября 2020 г.                  № П/0412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5776"/>
    <w:multiLevelType w:val="hybridMultilevel"/>
    <w:tmpl w:val="38325EFE"/>
    <w:lvl w:ilvl="0" w:tplc="C024D1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40C61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D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EC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E52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E4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AE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20B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667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62E5E"/>
    <w:multiLevelType w:val="hybridMultilevel"/>
    <w:tmpl w:val="F2541D5E"/>
    <w:lvl w:ilvl="0" w:tplc="0ADE68CA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/>
      </w:rPr>
    </w:lvl>
    <w:lvl w:ilvl="1" w:tplc="AE9C03AC">
      <w:start w:val="1"/>
      <w:numFmt w:val="lowerLetter"/>
      <w:lvlText w:val="%2."/>
      <w:lvlJc w:val="left"/>
      <w:pPr>
        <w:ind w:left="1800" w:hanging="360"/>
      </w:pPr>
    </w:lvl>
    <w:lvl w:ilvl="2" w:tplc="29121566">
      <w:start w:val="1"/>
      <w:numFmt w:val="lowerRoman"/>
      <w:lvlText w:val="%3."/>
      <w:lvlJc w:val="right"/>
      <w:pPr>
        <w:ind w:left="2520" w:hanging="180"/>
      </w:pPr>
    </w:lvl>
    <w:lvl w:ilvl="3" w:tplc="6DC0D362">
      <w:start w:val="1"/>
      <w:numFmt w:val="decimal"/>
      <w:lvlText w:val="%4."/>
      <w:lvlJc w:val="left"/>
      <w:pPr>
        <w:ind w:left="3240" w:hanging="360"/>
      </w:pPr>
    </w:lvl>
    <w:lvl w:ilvl="4" w:tplc="FF70FB2E">
      <w:start w:val="1"/>
      <w:numFmt w:val="lowerLetter"/>
      <w:lvlText w:val="%5."/>
      <w:lvlJc w:val="left"/>
      <w:pPr>
        <w:ind w:left="3960" w:hanging="360"/>
      </w:pPr>
    </w:lvl>
    <w:lvl w:ilvl="5" w:tplc="AA727526">
      <w:start w:val="1"/>
      <w:numFmt w:val="lowerRoman"/>
      <w:lvlText w:val="%6."/>
      <w:lvlJc w:val="right"/>
      <w:pPr>
        <w:ind w:left="4680" w:hanging="180"/>
      </w:pPr>
    </w:lvl>
    <w:lvl w:ilvl="6" w:tplc="9E48A640">
      <w:start w:val="1"/>
      <w:numFmt w:val="decimal"/>
      <w:lvlText w:val="%7."/>
      <w:lvlJc w:val="left"/>
      <w:pPr>
        <w:ind w:left="5400" w:hanging="360"/>
      </w:pPr>
    </w:lvl>
    <w:lvl w:ilvl="7" w:tplc="92204A1E">
      <w:start w:val="1"/>
      <w:numFmt w:val="lowerLetter"/>
      <w:lvlText w:val="%8."/>
      <w:lvlJc w:val="left"/>
      <w:pPr>
        <w:ind w:left="6120" w:hanging="360"/>
      </w:pPr>
    </w:lvl>
    <w:lvl w:ilvl="8" w:tplc="E5D2427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3F2193"/>
    <w:multiLevelType w:val="hybridMultilevel"/>
    <w:tmpl w:val="5C8A78A4"/>
    <w:lvl w:ilvl="0" w:tplc="9B7EA74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C22A51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43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0E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834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EE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C9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5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8E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C15C0"/>
    <w:multiLevelType w:val="hybridMultilevel"/>
    <w:tmpl w:val="4DDC6336"/>
    <w:lvl w:ilvl="0" w:tplc="78607E4A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/>
      </w:rPr>
    </w:lvl>
    <w:lvl w:ilvl="1" w:tplc="79FAFF9C">
      <w:start w:val="1"/>
      <w:numFmt w:val="lowerLetter"/>
      <w:lvlText w:val="%2."/>
      <w:lvlJc w:val="left"/>
      <w:pPr>
        <w:ind w:left="1800" w:hanging="360"/>
      </w:pPr>
    </w:lvl>
    <w:lvl w:ilvl="2" w:tplc="9684F054">
      <w:start w:val="1"/>
      <w:numFmt w:val="lowerRoman"/>
      <w:lvlText w:val="%3."/>
      <w:lvlJc w:val="right"/>
      <w:pPr>
        <w:ind w:left="2520" w:hanging="180"/>
      </w:pPr>
    </w:lvl>
    <w:lvl w:ilvl="3" w:tplc="460A5B30">
      <w:start w:val="1"/>
      <w:numFmt w:val="decimal"/>
      <w:lvlText w:val="%4."/>
      <w:lvlJc w:val="left"/>
      <w:pPr>
        <w:ind w:left="3240" w:hanging="360"/>
      </w:pPr>
    </w:lvl>
    <w:lvl w:ilvl="4" w:tplc="B6B2780A">
      <w:start w:val="1"/>
      <w:numFmt w:val="lowerLetter"/>
      <w:lvlText w:val="%5."/>
      <w:lvlJc w:val="left"/>
      <w:pPr>
        <w:ind w:left="3960" w:hanging="360"/>
      </w:pPr>
    </w:lvl>
    <w:lvl w:ilvl="5" w:tplc="A858BEEC">
      <w:start w:val="1"/>
      <w:numFmt w:val="lowerRoman"/>
      <w:lvlText w:val="%6."/>
      <w:lvlJc w:val="right"/>
      <w:pPr>
        <w:ind w:left="4680" w:hanging="180"/>
      </w:pPr>
    </w:lvl>
    <w:lvl w:ilvl="6" w:tplc="12B04BAA">
      <w:start w:val="1"/>
      <w:numFmt w:val="decimal"/>
      <w:lvlText w:val="%7."/>
      <w:lvlJc w:val="left"/>
      <w:pPr>
        <w:ind w:left="5400" w:hanging="360"/>
      </w:pPr>
    </w:lvl>
    <w:lvl w:ilvl="7" w:tplc="2EE8FA58">
      <w:start w:val="1"/>
      <w:numFmt w:val="lowerLetter"/>
      <w:lvlText w:val="%8."/>
      <w:lvlJc w:val="left"/>
      <w:pPr>
        <w:ind w:left="6120" w:hanging="360"/>
      </w:pPr>
    </w:lvl>
    <w:lvl w:ilvl="8" w:tplc="B3EAB41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55"/>
    <w:rsid w:val="000C76A4"/>
    <w:rsid w:val="00673DDA"/>
    <w:rsid w:val="006F0C55"/>
    <w:rsid w:val="00F7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8A5E4-5806-421C-88FA-E3E2D656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73DD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3DD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673DD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73DD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73DD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73DDA"/>
    <w:rPr>
      <w:vertAlign w:val="superscript"/>
    </w:rPr>
  </w:style>
  <w:style w:type="character" w:customStyle="1" w:styleId="ConsPlusNormal0">
    <w:name w:val="ConsPlusNormal Знак"/>
    <w:link w:val="ConsPlusNormal"/>
    <w:rsid w:val="00673DD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5C699E504B164972B59BF74699201478D8FD2B275DFCAF4311BB748EE93D047963951DEC69D11ACB9A80B93422244E9202A34A72jBy1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5C699E504B164972B59BF74699201478D8FD2B275DFCAF4311BB748EE93D047963951DEA69D11ACB9A80B93422244E9202A34A72jBy1G" TargetMode="External"/><Relationship Id="rId12" Type="http://schemas.openxmlformats.org/officeDocument/2006/relationships/hyperlink" Target="https://www.consultant.ru/document/cons_doc_LAW_5117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533477/79da6e3bbbc8eb967db0714e8378269bfea9f83c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65C699E504B164972B59BF74699201478D8FD2B275DFCAF4311BB748EE93D047963951CEE69D11ACB9A80B93422244E9202A34A72jBy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5C699E504B164972B59BF74699201478D8FD2B275DFCAF4311BB748EE93D047963951DEF6BD11ACB9A80B93422244E9202A34A72jBy1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3720</Words>
  <Characters>21209</Characters>
  <Application>Microsoft Office Word</Application>
  <DocSecurity>0</DocSecurity>
  <Lines>176</Lines>
  <Paragraphs>49</Paragraphs>
  <ScaleCrop>false</ScaleCrop>
  <Company/>
  <LinksUpToDate>false</LinksUpToDate>
  <CharactersWithSpaces>24880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2026-06-17T15:28:00Z</dcterms:created>
  <dcterms:modified xsi:type="dcterms:W3CDTF">2026-06-17T15:28:00Z</dcterms:modified>
</cp:coreProperties>
</file>